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9E9148" w14:textId="5DD99A65" w:rsidR="0036183A" w:rsidRPr="00F87DCA" w:rsidRDefault="0036183A" w:rsidP="0036183A">
      <w:pPr>
        <w:tabs>
          <w:tab w:val="center" w:pos="4536"/>
          <w:tab w:val="right" w:pos="7938"/>
          <w:tab w:val="right" w:pos="9639"/>
        </w:tabs>
        <w:ind w:right="2"/>
        <w:rPr>
          <w:rFonts w:ascii="Arial" w:hAnsi="Arial" w:cs="Arial"/>
          <w:b/>
          <w:bCs/>
          <w:sz w:val="28"/>
          <w:lang w:val="en-US"/>
        </w:rPr>
      </w:pPr>
      <w:r w:rsidRPr="00F87DCA">
        <w:rPr>
          <w:rFonts w:ascii="Arial" w:hAnsi="Arial" w:cs="Arial"/>
          <w:b/>
          <w:bCs/>
          <w:sz w:val="28"/>
          <w:lang w:val="en-US"/>
        </w:rPr>
        <w:t>3GPP TSG RAN WG1 #1</w:t>
      </w:r>
      <w:r w:rsidR="00F87DCA" w:rsidRPr="00F87DCA">
        <w:rPr>
          <w:rFonts w:ascii="Arial" w:hAnsi="Arial" w:cs="Arial"/>
          <w:b/>
          <w:bCs/>
          <w:sz w:val="28"/>
          <w:lang w:val="en-US"/>
        </w:rPr>
        <w:t>1</w:t>
      </w:r>
      <w:r w:rsidR="00F87DCA" w:rsidRPr="00CA2754">
        <w:rPr>
          <w:rFonts w:ascii="Arial" w:hAnsi="Arial" w:cs="Arial"/>
          <w:b/>
          <w:bCs/>
          <w:sz w:val="28"/>
          <w:lang w:val="en-US"/>
        </w:rPr>
        <w:t>6</w:t>
      </w:r>
      <w:r w:rsidRPr="00F87DCA">
        <w:rPr>
          <w:rFonts w:ascii="Arial" w:hAnsi="Arial" w:cs="Arial"/>
          <w:b/>
          <w:bCs/>
          <w:sz w:val="28"/>
          <w:lang w:val="en-US"/>
        </w:rPr>
        <w:tab/>
      </w:r>
      <w:r w:rsidR="000B1F4B" w:rsidRPr="00F87DCA">
        <w:rPr>
          <w:rFonts w:ascii="Arial" w:hAnsi="Arial" w:cs="Arial"/>
          <w:b/>
          <w:bCs/>
          <w:color w:val="000000" w:themeColor="text1"/>
          <w:sz w:val="28"/>
          <w:lang w:val="en-US"/>
        </w:rPr>
        <w:t xml:space="preserve">                                                       </w:t>
      </w:r>
      <w:r w:rsidR="00031927">
        <w:rPr>
          <w:rFonts w:ascii="Arial" w:hAnsi="Arial" w:cs="Arial"/>
          <w:b/>
          <w:bCs/>
          <w:color w:val="000000" w:themeColor="text1"/>
          <w:sz w:val="28"/>
          <w:lang w:val="en-US"/>
        </w:rPr>
        <w:t xml:space="preserve">  </w:t>
      </w:r>
      <w:r w:rsidR="008D5DC2" w:rsidRPr="00F87DCA">
        <w:rPr>
          <w:rFonts w:ascii="Arial" w:hAnsi="Arial" w:cs="Arial"/>
          <w:b/>
          <w:bCs/>
          <w:color w:val="000000" w:themeColor="text1"/>
          <w:sz w:val="26"/>
          <w:szCs w:val="26"/>
          <w:lang w:val="en-US"/>
        </w:rPr>
        <w:t>R1-2</w:t>
      </w:r>
      <w:r w:rsidR="00F87DCA" w:rsidRPr="00F87DCA">
        <w:rPr>
          <w:rFonts w:ascii="Arial" w:hAnsi="Arial" w:cs="Arial"/>
          <w:b/>
          <w:bCs/>
          <w:color w:val="000000" w:themeColor="text1"/>
          <w:sz w:val="26"/>
          <w:szCs w:val="26"/>
          <w:lang w:val="en-US"/>
        </w:rPr>
        <w:t>400499</w:t>
      </w:r>
    </w:p>
    <w:p w14:paraId="04386514" w14:textId="63A80C7B" w:rsidR="0036183A" w:rsidRPr="00CA2754" w:rsidRDefault="00F87DCA" w:rsidP="0036183A">
      <w:pPr>
        <w:tabs>
          <w:tab w:val="center" w:pos="4536"/>
          <w:tab w:val="right" w:pos="9072"/>
        </w:tabs>
        <w:rPr>
          <w:rFonts w:ascii="Arial" w:eastAsia="MS Mincho" w:hAnsi="Arial" w:cs="Arial"/>
          <w:b/>
          <w:bCs/>
          <w:sz w:val="28"/>
          <w:lang w:val="en-US" w:eastAsia="ja-JP"/>
        </w:rPr>
      </w:pPr>
      <w:r w:rsidRPr="00CA2754">
        <w:rPr>
          <w:rFonts w:ascii="Arial" w:eastAsia="MS Mincho" w:hAnsi="Arial" w:cs="Arial"/>
          <w:b/>
          <w:bCs/>
          <w:sz w:val="28"/>
          <w:lang w:val="en-US" w:eastAsia="ja-JP"/>
        </w:rPr>
        <w:t>Athens</w:t>
      </w:r>
      <w:r w:rsidR="00E509F1" w:rsidRPr="00CA2754">
        <w:rPr>
          <w:rFonts w:ascii="Arial" w:eastAsia="MS Mincho" w:hAnsi="Arial" w:cs="Arial"/>
          <w:b/>
          <w:bCs/>
          <w:sz w:val="28"/>
          <w:lang w:val="en-US" w:eastAsia="ja-JP"/>
        </w:rPr>
        <w:t xml:space="preserve">, </w:t>
      </w:r>
      <w:r w:rsidRPr="00CA2754">
        <w:rPr>
          <w:rFonts w:ascii="Arial" w:eastAsia="MS Mincho" w:hAnsi="Arial" w:cs="Arial"/>
          <w:b/>
          <w:bCs/>
          <w:sz w:val="28"/>
          <w:lang w:val="en-US" w:eastAsia="ja-JP"/>
        </w:rPr>
        <w:t>GR</w:t>
      </w:r>
      <w:r w:rsidR="0036183A" w:rsidRPr="00CA2754">
        <w:rPr>
          <w:rFonts w:ascii="Arial" w:eastAsia="MS Mincho" w:hAnsi="Arial" w:cs="Arial"/>
          <w:b/>
          <w:bCs/>
          <w:sz w:val="28"/>
          <w:lang w:val="en-US" w:eastAsia="ja-JP"/>
        </w:rPr>
        <w:t xml:space="preserve">, </w:t>
      </w:r>
      <w:r w:rsidRPr="00CA2754">
        <w:rPr>
          <w:rFonts w:ascii="Arial" w:eastAsia="MS Mincho" w:hAnsi="Arial" w:cs="Arial"/>
          <w:b/>
          <w:bCs/>
          <w:sz w:val="28"/>
          <w:lang w:val="en-US" w:eastAsia="ja-JP"/>
        </w:rPr>
        <w:t>February</w:t>
      </w:r>
      <w:r w:rsidR="0036183A" w:rsidRPr="00CA2754">
        <w:rPr>
          <w:rFonts w:ascii="Arial" w:eastAsia="MS Mincho" w:hAnsi="Arial" w:cs="Arial"/>
          <w:b/>
          <w:bCs/>
          <w:sz w:val="28"/>
          <w:lang w:val="en-US" w:eastAsia="ja-JP"/>
        </w:rPr>
        <w:t xml:space="preserve"> </w:t>
      </w:r>
      <w:r w:rsidRPr="00CA2754">
        <w:rPr>
          <w:rFonts w:ascii="Arial" w:eastAsia="MS Mincho" w:hAnsi="Arial" w:cs="Arial"/>
          <w:b/>
          <w:bCs/>
          <w:sz w:val="28"/>
          <w:lang w:val="en-US" w:eastAsia="ja-JP"/>
        </w:rPr>
        <w:t>26</w:t>
      </w:r>
      <w:r w:rsidR="00E509F1" w:rsidRPr="00CA2754">
        <w:rPr>
          <w:rFonts w:ascii="Arial" w:eastAsia="MS Mincho" w:hAnsi="Arial" w:cs="Arial"/>
          <w:b/>
          <w:bCs/>
          <w:sz w:val="28"/>
          <w:vertAlign w:val="superscript"/>
          <w:lang w:val="en-US" w:eastAsia="ja-JP"/>
        </w:rPr>
        <w:t>th</w:t>
      </w:r>
      <w:r w:rsidR="0036183A" w:rsidRPr="00CA2754">
        <w:rPr>
          <w:rFonts w:ascii="Arial" w:eastAsia="MS Mincho" w:hAnsi="Arial" w:cs="Arial"/>
          <w:b/>
          <w:bCs/>
          <w:sz w:val="28"/>
          <w:lang w:val="en-US" w:eastAsia="ja-JP"/>
        </w:rPr>
        <w:t xml:space="preserve"> – </w:t>
      </w:r>
      <w:r w:rsidRPr="00CA2754">
        <w:rPr>
          <w:rFonts w:ascii="Arial" w:eastAsia="MS Mincho" w:hAnsi="Arial" w:cs="Arial"/>
          <w:b/>
          <w:bCs/>
          <w:sz w:val="28"/>
          <w:lang w:val="en-US" w:eastAsia="ja-JP"/>
        </w:rPr>
        <w:t>March</w:t>
      </w:r>
      <w:r w:rsidR="0036183A" w:rsidRPr="00CA2754">
        <w:rPr>
          <w:rFonts w:ascii="Arial" w:eastAsia="MS Mincho" w:hAnsi="Arial" w:cs="Arial"/>
          <w:b/>
          <w:bCs/>
          <w:sz w:val="28"/>
          <w:lang w:val="en-US" w:eastAsia="ja-JP"/>
        </w:rPr>
        <w:t xml:space="preserve"> </w:t>
      </w:r>
      <w:r w:rsidRPr="00CA2754">
        <w:rPr>
          <w:rFonts w:ascii="Arial" w:eastAsia="MS Mincho" w:hAnsi="Arial" w:cs="Arial"/>
          <w:b/>
          <w:bCs/>
          <w:sz w:val="28"/>
          <w:lang w:val="en-US" w:eastAsia="ja-JP"/>
        </w:rPr>
        <w:t>1</w:t>
      </w:r>
      <w:r w:rsidRPr="00CA2754">
        <w:rPr>
          <w:rFonts w:ascii="Arial" w:eastAsia="MS Mincho" w:hAnsi="Arial" w:cs="Arial"/>
          <w:b/>
          <w:bCs/>
          <w:sz w:val="28"/>
          <w:vertAlign w:val="superscript"/>
          <w:lang w:val="en-US" w:eastAsia="ja-JP"/>
        </w:rPr>
        <w:t>st</w:t>
      </w:r>
      <w:r w:rsidR="0036183A" w:rsidRPr="00CA2754">
        <w:rPr>
          <w:rFonts w:ascii="Arial" w:eastAsia="MS Mincho" w:hAnsi="Arial" w:cs="Arial"/>
          <w:b/>
          <w:bCs/>
          <w:sz w:val="28"/>
          <w:lang w:val="en-US" w:eastAsia="ja-JP"/>
        </w:rPr>
        <w:t>, 202</w:t>
      </w:r>
      <w:r w:rsidRPr="00CA2754">
        <w:rPr>
          <w:rFonts w:ascii="Arial" w:eastAsia="MS Mincho" w:hAnsi="Arial" w:cs="Arial"/>
          <w:b/>
          <w:bCs/>
          <w:sz w:val="28"/>
          <w:lang w:val="en-US" w:eastAsia="ja-JP"/>
        </w:rPr>
        <w:t>4</w:t>
      </w:r>
    </w:p>
    <w:p w14:paraId="67A2B521" w14:textId="77777777" w:rsidR="0053163A" w:rsidRPr="00CC27F5" w:rsidRDefault="0053163A" w:rsidP="0053163A">
      <w:pPr>
        <w:pStyle w:val="Kopfzeile"/>
        <w:tabs>
          <w:tab w:val="right" w:pos="9639"/>
        </w:tabs>
        <w:jc w:val="both"/>
        <w:rPr>
          <w:i/>
          <w:sz w:val="32"/>
          <w:lang w:val="en-GB"/>
        </w:rPr>
      </w:pPr>
      <w:r w:rsidRPr="00CC27F5">
        <w:rPr>
          <w:sz w:val="24"/>
          <w:lang w:val="en-GB"/>
        </w:rPr>
        <w:tab/>
      </w:r>
    </w:p>
    <w:p w14:paraId="680BB06B" w14:textId="48E538EB" w:rsidR="0053163A" w:rsidRDefault="0053163A" w:rsidP="00807350">
      <w:pPr>
        <w:tabs>
          <w:tab w:val="left" w:pos="1985"/>
        </w:tabs>
        <w:jc w:val="both"/>
        <w:rPr>
          <w:rFonts w:ascii="Arial" w:hAnsi="Arial"/>
          <w:lang w:val="en-US"/>
        </w:rPr>
      </w:pPr>
      <w:r w:rsidRPr="00CA2754">
        <w:rPr>
          <w:rFonts w:ascii="Arial" w:hAnsi="Arial"/>
          <w:b/>
          <w:lang w:val="en-US"/>
        </w:rPr>
        <w:t>Agenda item:</w:t>
      </w:r>
      <w:r w:rsidRPr="00CA2754">
        <w:rPr>
          <w:rFonts w:ascii="Arial" w:hAnsi="Arial"/>
          <w:lang w:val="en-US"/>
        </w:rPr>
        <w:tab/>
      </w:r>
      <w:bookmarkStart w:id="0" w:name="Source"/>
      <w:bookmarkEnd w:id="0"/>
      <w:r w:rsidR="00F87DCA" w:rsidRPr="00CA2754">
        <w:rPr>
          <w:rFonts w:ascii="Arial" w:hAnsi="Arial"/>
          <w:lang w:val="en-US"/>
        </w:rPr>
        <w:t xml:space="preserve">9.11.1 </w:t>
      </w:r>
    </w:p>
    <w:p w14:paraId="173EBE1F" w14:textId="5873E5CE" w:rsidR="00807350" w:rsidRPr="00CA2754" w:rsidRDefault="00807350" w:rsidP="00807350">
      <w:pPr>
        <w:ind w:left="1988" w:hanging="1988"/>
        <w:jc w:val="both"/>
        <w:rPr>
          <w:rFonts w:ascii="Arial" w:hAnsi="Arial"/>
          <w:lang w:val="en-US"/>
        </w:rPr>
      </w:pPr>
      <w:r w:rsidRPr="002F3BE3">
        <w:rPr>
          <w:rFonts w:ascii="Arial" w:hAnsi="Arial"/>
          <w:b/>
          <w:lang w:val="en-US"/>
        </w:rPr>
        <w:t>Title:</w:t>
      </w:r>
      <w:r w:rsidRPr="002F3BE3">
        <w:rPr>
          <w:rFonts w:ascii="Arial" w:hAnsi="Arial"/>
          <w:lang w:val="en-US"/>
        </w:rPr>
        <w:t xml:space="preserve"> </w:t>
      </w:r>
      <w:r w:rsidRPr="002F3BE3">
        <w:rPr>
          <w:rFonts w:ascii="Arial" w:hAnsi="Arial"/>
          <w:sz w:val="22"/>
          <w:lang w:val="en-US"/>
        </w:rPr>
        <w:tab/>
      </w:r>
      <w:r w:rsidRPr="002F3BE3">
        <w:rPr>
          <w:rFonts w:ascii="Arial" w:hAnsi="Arial"/>
          <w:lang w:val="en-US"/>
        </w:rPr>
        <w:t xml:space="preserve">NR-NTN downlink coverage enhancement </w:t>
      </w:r>
    </w:p>
    <w:p w14:paraId="237BD542" w14:textId="3B4A126E" w:rsidR="0053163A" w:rsidRPr="00CA2754" w:rsidRDefault="0053163A" w:rsidP="0053163A">
      <w:pPr>
        <w:tabs>
          <w:tab w:val="left" w:pos="1985"/>
        </w:tabs>
        <w:jc w:val="both"/>
        <w:rPr>
          <w:rFonts w:ascii="Arial" w:hAnsi="Arial"/>
          <w:lang w:val="en-US"/>
        </w:rPr>
      </w:pPr>
      <w:r w:rsidRPr="00CA2754">
        <w:rPr>
          <w:rFonts w:ascii="Arial" w:hAnsi="Arial"/>
          <w:b/>
          <w:lang w:val="en-US"/>
        </w:rPr>
        <w:t xml:space="preserve">Source: </w:t>
      </w:r>
      <w:r w:rsidRPr="00CA2754">
        <w:rPr>
          <w:rFonts w:ascii="Arial" w:hAnsi="Arial"/>
          <w:b/>
          <w:lang w:val="en-US"/>
        </w:rPr>
        <w:tab/>
      </w:r>
      <w:r w:rsidR="000019E9" w:rsidRPr="00CA2754">
        <w:rPr>
          <w:rFonts w:ascii="Arial" w:hAnsi="Arial"/>
          <w:lang w:val="en-US"/>
        </w:rPr>
        <w:t>Fraunhofer IIS</w:t>
      </w:r>
      <w:r w:rsidR="006278B1" w:rsidRPr="00CA2754">
        <w:rPr>
          <w:rFonts w:ascii="Arial" w:hAnsi="Arial"/>
          <w:lang w:val="en-US"/>
        </w:rPr>
        <w:t>, Fraunhofer HHI</w:t>
      </w:r>
    </w:p>
    <w:p w14:paraId="05C16C0F" w14:textId="34E1C282" w:rsidR="0053163A" w:rsidRDefault="0053163A" w:rsidP="00223C05">
      <w:pPr>
        <w:ind w:left="1988" w:hanging="1988"/>
        <w:jc w:val="both"/>
        <w:rPr>
          <w:rFonts w:ascii="Arial" w:hAnsi="Arial"/>
        </w:rPr>
      </w:pPr>
      <w:proofErr w:type="spellStart"/>
      <w:r w:rsidRPr="00CC27F5">
        <w:rPr>
          <w:rFonts w:ascii="Arial" w:hAnsi="Arial"/>
          <w:b/>
        </w:rPr>
        <w:t>Document</w:t>
      </w:r>
      <w:proofErr w:type="spellEnd"/>
      <w:r w:rsidRPr="00CC27F5">
        <w:rPr>
          <w:rFonts w:ascii="Arial" w:hAnsi="Arial"/>
          <w:b/>
        </w:rPr>
        <w:t xml:space="preserve"> </w:t>
      </w:r>
      <w:proofErr w:type="spellStart"/>
      <w:r w:rsidRPr="00CC27F5">
        <w:rPr>
          <w:rFonts w:ascii="Arial" w:hAnsi="Arial"/>
          <w:b/>
        </w:rPr>
        <w:t>for</w:t>
      </w:r>
      <w:proofErr w:type="spellEnd"/>
      <w:r w:rsidRPr="00CC27F5">
        <w:rPr>
          <w:rFonts w:ascii="Arial" w:hAnsi="Arial"/>
          <w:b/>
        </w:rPr>
        <w:t>:</w:t>
      </w:r>
      <w:r w:rsidRPr="00CC27F5">
        <w:rPr>
          <w:rFonts w:ascii="Arial" w:hAnsi="Arial"/>
        </w:rPr>
        <w:tab/>
      </w:r>
      <w:bookmarkStart w:id="1" w:name="DocumentFor"/>
      <w:bookmarkEnd w:id="1"/>
      <w:r w:rsidRPr="00CC27F5">
        <w:rPr>
          <w:rFonts w:ascii="Arial" w:hAnsi="Arial"/>
        </w:rPr>
        <w:t>Discussion</w:t>
      </w:r>
      <w:r>
        <w:rPr>
          <w:rFonts w:ascii="Arial" w:hAnsi="Arial"/>
        </w:rPr>
        <w:t xml:space="preserve"> </w:t>
      </w:r>
    </w:p>
    <w:p w14:paraId="20D44A83" w14:textId="77777777" w:rsidR="00684346" w:rsidRDefault="00684346" w:rsidP="0053163A">
      <w:pPr>
        <w:tabs>
          <w:tab w:val="left" w:pos="1985"/>
        </w:tabs>
        <w:ind w:right="-441"/>
        <w:jc w:val="both"/>
        <w:rPr>
          <w:rFonts w:ascii="Arial" w:hAnsi="Arial"/>
        </w:rPr>
      </w:pPr>
    </w:p>
    <w:p w14:paraId="7D3A50A0" w14:textId="40708CA1" w:rsidR="00684346" w:rsidRDefault="00684346" w:rsidP="0053163A">
      <w:pPr>
        <w:tabs>
          <w:tab w:val="left" w:pos="1985"/>
        </w:tabs>
        <w:ind w:right="-441"/>
        <w:jc w:val="both"/>
        <w:rPr>
          <w:rFonts w:ascii="Arial" w:hAnsi="Arial"/>
        </w:rPr>
      </w:pPr>
    </w:p>
    <w:p w14:paraId="17D9EC24" w14:textId="642EE6C3" w:rsidR="00684346" w:rsidRDefault="00684346" w:rsidP="00290CCC">
      <w:pPr>
        <w:pStyle w:val="berschrift1"/>
        <w:numPr>
          <w:ilvl w:val="0"/>
          <w:numId w:val="35"/>
        </w:numPr>
      </w:pPr>
      <w:r w:rsidRPr="00684346">
        <w:t>Introduction</w:t>
      </w:r>
    </w:p>
    <w:p w14:paraId="5454F2B8" w14:textId="77777777" w:rsidR="00354F5F" w:rsidRDefault="00354F5F" w:rsidP="00354F5F">
      <w:pPr>
        <w:rPr>
          <w:lang w:val="en-GB" w:eastAsia="en-US"/>
        </w:rPr>
      </w:pPr>
    </w:p>
    <w:p w14:paraId="7015AC7E" w14:textId="4415C9B7" w:rsidR="00354F5F" w:rsidRDefault="00354F5F" w:rsidP="00354F5F">
      <w:pPr>
        <w:rPr>
          <w:lang w:val="en-US"/>
        </w:rPr>
      </w:pPr>
      <w:r w:rsidRPr="00354F5F">
        <w:rPr>
          <w:lang w:val="en-US"/>
        </w:rPr>
        <w:t xml:space="preserve">In RAN #102 meeting, the WI for R19 NR NTN for Phase 3 </w:t>
      </w:r>
      <w:r>
        <w:fldChar w:fldCharType="begin"/>
      </w:r>
      <w:r w:rsidRPr="00354F5F">
        <w:rPr>
          <w:lang w:val="en-US"/>
        </w:rPr>
        <w:instrText xml:space="preserve"> REF _Ref127399394 \r \h  \* MERGEFORMAT </w:instrText>
      </w:r>
      <w:r>
        <w:fldChar w:fldCharType="separate"/>
      </w:r>
      <w:r w:rsidRPr="00354F5F">
        <w:rPr>
          <w:lang w:val="en-US"/>
        </w:rPr>
        <w:t>[1]</w:t>
      </w:r>
      <w:r>
        <w:fldChar w:fldCharType="end"/>
      </w:r>
      <w:r w:rsidRPr="00354F5F">
        <w:rPr>
          <w:lang w:val="en-US"/>
        </w:rPr>
        <w:t xml:space="preserve"> is approved.</w:t>
      </w:r>
      <w:r>
        <w:rPr>
          <w:lang w:val="en-US"/>
        </w:rPr>
        <w:t xml:space="preserve"> </w:t>
      </w:r>
      <w:r w:rsidRPr="00354F5F">
        <w:rPr>
          <w:lang w:val="en-US"/>
        </w:rPr>
        <w:t xml:space="preserve">For DL coverage enhancement, NR NTN phase 3 has an objective to improve the DL coverage through link level and system level enhancements. </w:t>
      </w:r>
    </w:p>
    <w:p w14:paraId="525D6E7D" w14:textId="77777777" w:rsidR="00354F5F" w:rsidRPr="00354F5F" w:rsidRDefault="00354F5F" w:rsidP="00354F5F">
      <w:pPr>
        <w:rPr>
          <w:lang w:val="en-US"/>
        </w:rPr>
      </w:pPr>
    </w:p>
    <w:tbl>
      <w:tblPr>
        <w:tblStyle w:val="Tabellenraster"/>
        <w:tblW w:w="0" w:type="auto"/>
        <w:tblLook w:val="04A0" w:firstRow="1" w:lastRow="0" w:firstColumn="1" w:lastColumn="0" w:noHBand="0" w:noVBand="1"/>
      </w:tblPr>
      <w:tblGrid>
        <w:gridCol w:w="9350"/>
      </w:tblGrid>
      <w:tr w:rsidR="00354F5F" w:rsidRPr="00846B78" w14:paraId="3C6810FB" w14:textId="77777777" w:rsidTr="00AD4088">
        <w:tc>
          <w:tcPr>
            <w:tcW w:w="9350" w:type="dxa"/>
          </w:tcPr>
          <w:p w14:paraId="0EA3FE65" w14:textId="77777777" w:rsidR="00354F5F" w:rsidRPr="00354F5F" w:rsidRDefault="00354F5F" w:rsidP="00354F5F">
            <w:pPr>
              <w:numPr>
                <w:ilvl w:val="0"/>
                <w:numId w:val="46"/>
              </w:numPr>
              <w:overflowPunct w:val="0"/>
              <w:autoSpaceDE w:val="0"/>
              <w:autoSpaceDN w:val="0"/>
              <w:adjustRightInd w:val="0"/>
              <w:spacing w:line="276" w:lineRule="auto"/>
              <w:jc w:val="both"/>
              <w:textAlignment w:val="baseline"/>
              <w:rPr>
                <w:rFonts w:eastAsia="Calibri"/>
                <w:lang w:val="en-US" w:eastAsia="ko-KR"/>
              </w:rPr>
            </w:pPr>
            <w:r w:rsidRPr="00354F5F">
              <w:rPr>
                <w:rFonts w:eastAsia="Calibri"/>
                <w:lang w:val="en-US" w:eastAsia="ko-KR"/>
              </w:rPr>
              <w:t>Study and specify if beneficial downlink coverage enhancements targeting support for additional reference satellite payload parameters covering both GSO and NGSO constellations operating in FR1-NTN or FR2-NTN [RAN1, RAN2, RAN4]</w:t>
            </w:r>
          </w:p>
          <w:p w14:paraId="4463333F" w14:textId="77777777" w:rsidR="00354F5F" w:rsidRPr="00F8147E" w:rsidRDefault="00354F5F" w:rsidP="00354F5F">
            <w:pPr>
              <w:pStyle w:val="Listenabsatz"/>
              <w:widowControl w:val="0"/>
              <w:numPr>
                <w:ilvl w:val="0"/>
                <w:numId w:val="47"/>
              </w:numPr>
              <w:overflowPunct/>
              <w:autoSpaceDE/>
              <w:autoSpaceDN/>
              <w:adjustRightInd/>
              <w:spacing w:after="0" w:line="276" w:lineRule="auto"/>
              <w:jc w:val="both"/>
              <w:textAlignment w:val="auto"/>
            </w:pPr>
            <w:r w:rsidRPr="00F8147E">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2CB1C776" w14:textId="77777777" w:rsidR="00354F5F" w:rsidRPr="00F8147E" w:rsidRDefault="00354F5F" w:rsidP="00354F5F">
            <w:pPr>
              <w:pStyle w:val="Listenabsatz"/>
              <w:widowControl w:val="0"/>
              <w:numPr>
                <w:ilvl w:val="0"/>
                <w:numId w:val="47"/>
              </w:numPr>
              <w:overflowPunct/>
              <w:autoSpaceDE/>
              <w:autoSpaceDN/>
              <w:adjustRightInd/>
              <w:spacing w:after="0" w:line="276" w:lineRule="auto"/>
              <w:jc w:val="both"/>
              <w:textAlignment w:val="auto"/>
            </w:pPr>
            <w:r w:rsidRPr="00F8147E">
              <w:t xml:space="preserve">Define the corresponding </w:t>
            </w:r>
            <w:r w:rsidRPr="00F8473D">
              <w:t>power sharing assumptions</w:t>
            </w:r>
            <w:r w:rsidRPr="00F8147E">
              <w:t xml:space="preserve">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3B3DCFF6" w14:textId="77777777" w:rsidR="00354F5F" w:rsidRPr="00F8147E" w:rsidRDefault="00354F5F" w:rsidP="00354F5F">
            <w:pPr>
              <w:pStyle w:val="Listenabsatz"/>
              <w:widowControl w:val="0"/>
              <w:numPr>
                <w:ilvl w:val="0"/>
                <w:numId w:val="47"/>
              </w:numPr>
              <w:overflowPunct/>
              <w:autoSpaceDE/>
              <w:autoSpaceDN/>
              <w:adjustRightInd/>
              <w:spacing w:after="0" w:line="276" w:lineRule="auto"/>
              <w:jc w:val="both"/>
              <w:textAlignment w:val="auto"/>
            </w:pPr>
            <w:r w:rsidRPr="00F8147E">
              <w:t xml:space="preserve">Study and </w:t>
            </w:r>
            <w:r w:rsidRPr="00D91AC5">
              <w:t xml:space="preserve">if needed </w:t>
            </w:r>
            <w:r w:rsidRPr="00F8147E">
              <w:t xml:space="preserve">specify solutions, including link level enhancements </w:t>
            </w:r>
            <w:r w:rsidRPr="00D91AC5">
              <w:t xml:space="preserve">for FR1-NTN </w:t>
            </w:r>
            <w:r w:rsidRPr="00F8147E">
              <w:t>(e.g. for PDCCH, PDSCH) and/or system level enhancements</w:t>
            </w:r>
            <w:r w:rsidRPr="00D91AC5">
              <w:t xml:space="preserve"> for FR1-NTN and/or FR2-NTN</w:t>
            </w:r>
            <w:r w:rsidRPr="00F8147E">
              <w:t>, allowing dynamic and flexible power sharing between satellite beams or different satellite beam patterns/size (i.e. wide or narrow) across the satellite footprint.</w:t>
            </w:r>
          </w:p>
          <w:p w14:paraId="4D5FDEE4" w14:textId="77777777" w:rsidR="00354F5F" w:rsidRPr="003F3481" w:rsidRDefault="00354F5F" w:rsidP="00354F5F">
            <w:pPr>
              <w:pStyle w:val="Listenabsatz"/>
              <w:widowControl w:val="0"/>
              <w:numPr>
                <w:ilvl w:val="0"/>
                <w:numId w:val="47"/>
              </w:numPr>
              <w:overflowPunct/>
              <w:autoSpaceDE/>
              <w:autoSpaceDN/>
              <w:adjustRightInd/>
              <w:spacing w:after="0" w:line="276" w:lineRule="auto"/>
              <w:jc w:val="both"/>
              <w:textAlignment w:val="auto"/>
            </w:pPr>
            <w:r w:rsidRPr="003F3481">
              <w:t xml:space="preserve">Notes for </w:t>
            </w:r>
            <w:r>
              <w:t>this objective</w:t>
            </w:r>
            <w:r w:rsidRPr="003F3481">
              <w:t>:</w:t>
            </w:r>
          </w:p>
          <w:p w14:paraId="71F6B874" w14:textId="67218931" w:rsidR="00354F5F" w:rsidRPr="00F8147E" w:rsidRDefault="00354F5F" w:rsidP="00354F5F">
            <w:pPr>
              <w:pStyle w:val="Listenabsatz"/>
              <w:widowControl w:val="0"/>
              <w:numPr>
                <w:ilvl w:val="1"/>
                <w:numId w:val="47"/>
              </w:numPr>
              <w:overflowPunct/>
              <w:autoSpaceDE/>
              <w:autoSpaceDN/>
              <w:adjustRightInd/>
              <w:spacing w:after="0" w:line="276" w:lineRule="auto"/>
              <w:jc w:val="both"/>
              <w:textAlignment w:val="auto"/>
            </w:pPr>
            <w:r w:rsidRPr="00F8147E">
              <w:t>SSB channel enhancement is not considered.</w:t>
            </w:r>
          </w:p>
          <w:p w14:paraId="210F1C00" w14:textId="77777777" w:rsidR="00354F5F" w:rsidRPr="00F8147E" w:rsidRDefault="00354F5F" w:rsidP="00354F5F">
            <w:pPr>
              <w:pStyle w:val="Listenabsatz"/>
              <w:widowControl w:val="0"/>
              <w:numPr>
                <w:ilvl w:val="1"/>
                <w:numId w:val="47"/>
              </w:numPr>
              <w:overflowPunct/>
              <w:autoSpaceDE/>
              <w:autoSpaceDN/>
              <w:adjustRightInd/>
              <w:spacing w:after="0" w:line="276" w:lineRule="auto"/>
              <w:jc w:val="both"/>
              <w:textAlignment w:val="auto"/>
            </w:pPr>
            <w:r w:rsidRPr="00F8147E">
              <w:t>Antenna gain of UE shall be assumed to be -5.5dBi</w:t>
            </w:r>
            <w:r w:rsidRPr="00D91AC5">
              <w:t xml:space="preserve"> in case of smartphone in FR1-NTN</w:t>
            </w:r>
            <w:r w:rsidRPr="00F8147E">
              <w:t xml:space="preserve">, </w:t>
            </w:r>
            <w:r w:rsidRPr="00D91AC5">
              <w:t xml:space="preserve">the UE is assumed to be a full duplex UE, </w:t>
            </w:r>
            <w:r w:rsidRPr="00F8147E">
              <w:t>and at least 2Rx are considered at the UE</w:t>
            </w:r>
          </w:p>
          <w:p w14:paraId="5BB1E82B" w14:textId="77777777" w:rsidR="00354F5F" w:rsidRDefault="00354F5F" w:rsidP="00354F5F">
            <w:pPr>
              <w:pStyle w:val="Listenabsatz"/>
              <w:widowControl w:val="0"/>
              <w:numPr>
                <w:ilvl w:val="1"/>
                <w:numId w:val="47"/>
              </w:numPr>
              <w:overflowPunct/>
              <w:autoSpaceDE/>
              <w:autoSpaceDN/>
              <w:adjustRightInd/>
              <w:spacing w:after="0" w:line="276" w:lineRule="auto"/>
              <w:jc w:val="both"/>
              <w:textAlignment w:val="auto"/>
            </w:pPr>
            <w:r w:rsidRPr="00F8147E">
              <w:t>NGSO to be considered in priority: LEO Set-1 @ 600 km</w:t>
            </w:r>
          </w:p>
          <w:p w14:paraId="53248DFD" w14:textId="77777777" w:rsidR="00354F5F" w:rsidRPr="00F76639" w:rsidRDefault="00354F5F" w:rsidP="00354F5F">
            <w:pPr>
              <w:pStyle w:val="Listenabsatz"/>
              <w:widowControl w:val="0"/>
              <w:numPr>
                <w:ilvl w:val="1"/>
                <w:numId w:val="47"/>
              </w:numPr>
              <w:overflowPunct/>
              <w:autoSpaceDE/>
              <w:autoSpaceDN/>
              <w:adjustRightInd/>
              <w:spacing w:after="0" w:line="276" w:lineRule="auto"/>
              <w:jc w:val="both"/>
              <w:textAlignment w:val="auto"/>
            </w:pPr>
            <w:r w:rsidRPr="00F76639">
              <w:t>Rel-18 network energy saving techniques should be considered as baseline in the system level study</w:t>
            </w:r>
          </w:p>
        </w:tc>
      </w:tr>
    </w:tbl>
    <w:p w14:paraId="72CEECEE" w14:textId="77777777" w:rsidR="00354F5F" w:rsidRDefault="00354F5F" w:rsidP="00354F5F">
      <w:pPr>
        <w:rPr>
          <w:lang w:val="en-US" w:eastAsia="en-US"/>
        </w:rPr>
      </w:pPr>
    </w:p>
    <w:p w14:paraId="7D2DB3C4" w14:textId="77777777" w:rsidR="00807350" w:rsidRPr="00354F5F" w:rsidRDefault="00807350" w:rsidP="00807350">
      <w:pPr>
        <w:rPr>
          <w:lang w:val="en-US"/>
        </w:rPr>
      </w:pPr>
      <w:r w:rsidRPr="00354F5F">
        <w:rPr>
          <w:lang w:val="en-US"/>
        </w:rPr>
        <w:t xml:space="preserve">The justification for this objective is the following: </w:t>
      </w:r>
    </w:p>
    <w:p w14:paraId="5D567264" w14:textId="77777777" w:rsidR="00807350" w:rsidRDefault="00807350" w:rsidP="00807350">
      <w:pPr>
        <w:rPr>
          <w:lang w:val="en-US" w:eastAsia="en-US"/>
        </w:rPr>
      </w:pPr>
    </w:p>
    <w:tbl>
      <w:tblPr>
        <w:tblStyle w:val="Tabellenraster"/>
        <w:tblW w:w="0" w:type="auto"/>
        <w:tblLook w:val="04A0" w:firstRow="1" w:lastRow="0" w:firstColumn="1" w:lastColumn="0" w:noHBand="0" w:noVBand="1"/>
      </w:tblPr>
      <w:tblGrid>
        <w:gridCol w:w="9350"/>
      </w:tblGrid>
      <w:tr w:rsidR="00807350" w:rsidRPr="00846B78" w14:paraId="45DDE419" w14:textId="77777777" w:rsidTr="00AD4088">
        <w:tc>
          <w:tcPr>
            <w:tcW w:w="9350" w:type="dxa"/>
          </w:tcPr>
          <w:p w14:paraId="586F60D6" w14:textId="77777777" w:rsidR="00807350" w:rsidRPr="00354F5F" w:rsidRDefault="00807350" w:rsidP="00AD4088">
            <w:pPr>
              <w:numPr>
                <w:ilvl w:val="0"/>
                <w:numId w:val="38"/>
              </w:numPr>
              <w:overflowPunct w:val="0"/>
              <w:autoSpaceDE w:val="0"/>
              <w:autoSpaceDN w:val="0"/>
              <w:adjustRightInd w:val="0"/>
              <w:textAlignment w:val="baseline"/>
              <w:rPr>
                <w:bCs/>
                <w:lang w:val="en-US"/>
              </w:rPr>
            </w:pPr>
            <w:bookmarkStart w:id="2" w:name="_Hlk158290424"/>
            <w:r w:rsidRPr="00354F5F">
              <w:rPr>
                <w:bCs/>
                <w:lang w:val="en-US"/>
              </w:rPr>
              <w:t xml:space="preserve">Offer optimized performance especially when addressing handset terminals (including smartphones with -5.5 </w:t>
            </w:r>
            <w:proofErr w:type="spellStart"/>
            <w:r w:rsidRPr="00354F5F">
              <w:rPr>
                <w:bCs/>
                <w:lang w:val="en-US"/>
              </w:rPr>
              <w:t>dBi</w:t>
            </w:r>
            <w:proofErr w:type="spellEnd"/>
            <w:r w:rsidRPr="00354F5F">
              <w:rPr>
                <w:bCs/>
                <w:lang w:val="en-US"/>
              </w:rPr>
              <w:t xml:space="preserve"> antenna gain) </w:t>
            </w:r>
            <w:proofErr w:type="spellStart"/>
            <w:r w:rsidRPr="00354F5F">
              <w:rPr>
                <w:bCs/>
                <w:lang w:val="en-US"/>
              </w:rPr>
              <w:t>w.r.t.</w:t>
            </w:r>
            <w:proofErr w:type="spellEnd"/>
            <w:r w:rsidRPr="00354F5F">
              <w:rPr>
                <w:bCs/>
                <w:lang w:val="en-US"/>
              </w:rPr>
              <w:t xml:space="preserve"> downlink coverage </w:t>
            </w:r>
            <w:r w:rsidRPr="00354F5F">
              <w:rPr>
                <w:iCs/>
                <w:lang w:val="en-US"/>
              </w:rPr>
              <w:t>considering the NTN deployment constraints such as payload power limitation, large satellite</w:t>
            </w:r>
            <w:r w:rsidRPr="00354F5F">
              <w:rPr>
                <w:lang w:val="en-US"/>
              </w:rPr>
              <w:t xml:space="preserve"> </w:t>
            </w:r>
            <w:r w:rsidRPr="00354F5F">
              <w:rPr>
                <w:iCs/>
                <w:lang w:val="en-US"/>
              </w:rPr>
              <w:t xml:space="preserve">foot print and limited feeder link bandwidth. </w:t>
            </w:r>
            <w:r w:rsidRPr="00354F5F">
              <w:rPr>
                <w:lang w:val="en-US"/>
              </w:rPr>
              <w:t xml:space="preserve">DL coverage enhancements are needed to accommodate </w:t>
            </w:r>
            <w:r w:rsidRPr="00354F5F">
              <w:rPr>
                <w:rStyle w:val="ui-provider"/>
                <w:lang w:val="en-US"/>
              </w:rPr>
              <w:t xml:space="preserve">satellite payload constraints which may be unable to have all its beams active with the « nominal » EIRP density per beam (see Section 6.1.1 in TR 38.821) at a given time due to limited power and limited feeder link bandwidth, while </w:t>
            </w:r>
            <w:r w:rsidRPr="00354F5F">
              <w:rPr>
                <w:bCs/>
                <w:lang w:val="en-US"/>
              </w:rPr>
              <w:t xml:space="preserve">maximizing the number of beams that can be activated simultaneously, and ensuring that all user terminals can be served </w:t>
            </w:r>
            <w:r w:rsidRPr="00354F5F">
              <w:rPr>
                <w:bCs/>
                <w:lang w:val="en-US"/>
              </w:rPr>
              <w:lastRenderedPageBreak/>
              <w:t>across the satellite foot print while maximizing the overall satellite throughput and ensuring that all satellite’s radio cells are kept alive even without traffic but allowing new users to join or preventing impact on end-user QoS.</w:t>
            </w:r>
          </w:p>
          <w:p w14:paraId="43E2CAE8" w14:textId="77777777" w:rsidR="00807350" w:rsidRPr="00354F5F" w:rsidRDefault="00807350" w:rsidP="00AD4088">
            <w:pPr>
              <w:rPr>
                <w:iCs/>
                <w:lang w:val="en-US"/>
              </w:rPr>
            </w:pPr>
          </w:p>
          <w:p w14:paraId="6E8F05F6" w14:textId="77777777" w:rsidR="00807350" w:rsidRPr="00354F5F" w:rsidRDefault="00807350" w:rsidP="00AD4088">
            <w:pPr>
              <w:ind w:firstLine="360"/>
              <w:rPr>
                <w:lang w:val="en-US"/>
              </w:rPr>
            </w:pPr>
            <w:r w:rsidRPr="00354F5F">
              <w:rPr>
                <w:lang w:val="en-US"/>
              </w:rPr>
              <w:t>DL coverage enhancements can be considered at both</w:t>
            </w:r>
          </w:p>
          <w:p w14:paraId="7FE4ACD8" w14:textId="77777777" w:rsidR="00807350" w:rsidRPr="00354F5F" w:rsidRDefault="00807350" w:rsidP="00AD4088">
            <w:pPr>
              <w:numPr>
                <w:ilvl w:val="0"/>
                <w:numId w:val="39"/>
              </w:numPr>
              <w:overflowPunct w:val="0"/>
              <w:autoSpaceDE w:val="0"/>
              <w:autoSpaceDN w:val="0"/>
              <w:adjustRightInd w:val="0"/>
              <w:textAlignment w:val="baseline"/>
              <w:rPr>
                <w:bCs/>
                <w:lang w:val="en-US"/>
              </w:rPr>
            </w:pPr>
            <w:r w:rsidRPr="00354F5F">
              <w:rPr>
                <w:bCs/>
                <w:lang w:val="en-US"/>
              </w:rPr>
              <w:t>Link level to improve the link margin of selected physical channels in order to accommodate the EIRP reduction</w:t>
            </w:r>
            <w:r w:rsidRPr="00354F5F">
              <w:rPr>
                <w:lang w:val="en-US"/>
              </w:rPr>
              <w:t xml:space="preserve"> in FR1-NTN</w:t>
            </w:r>
            <w:r w:rsidRPr="00354F5F">
              <w:rPr>
                <w:bCs/>
                <w:lang w:val="en-US"/>
              </w:rPr>
              <w:t>. A link margin improvement for physical channels (e.g. PDSCH and PDCCH) may be considered without impact on SSB design.</w:t>
            </w:r>
            <w:r w:rsidRPr="00354F5F" w:rsidDel="00BC6EE0">
              <w:rPr>
                <w:bCs/>
                <w:lang w:val="en-US"/>
              </w:rPr>
              <w:t xml:space="preserve"> </w:t>
            </w:r>
          </w:p>
          <w:p w14:paraId="02C7CBB1" w14:textId="77777777" w:rsidR="00807350" w:rsidRPr="00354F5F" w:rsidRDefault="00807350" w:rsidP="00AD4088">
            <w:pPr>
              <w:numPr>
                <w:ilvl w:val="0"/>
                <w:numId w:val="39"/>
              </w:numPr>
              <w:overflowPunct w:val="0"/>
              <w:autoSpaceDE w:val="0"/>
              <w:autoSpaceDN w:val="0"/>
              <w:adjustRightInd w:val="0"/>
              <w:textAlignment w:val="baseline"/>
              <w:rPr>
                <w:bCs/>
                <w:lang w:val="en-US"/>
              </w:rPr>
            </w:pPr>
            <w:r w:rsidRPr="00354F5F">
              <w:rPr>
                <w:bCs/>
                <w:lang w:val="en-US"/>
              </w:rPr>
              <w:t>System level to support an efficient dynamic and flexible power sharing between beams or different beam pattern/size (i.e., wide or narrow) across the satellite foot print</w:t>
            </w:r>
            <w:r w:rsidRPr="00354F5F">
              <w:rPr>
                <w:lang w:val="en-US"/>
              </w:rPr>
              <w:t xml:space="preserve"> for FR1-NTN and FR2-NTN</w:t>
            </w:r>
            <w:r w:rsidRPr="00354F5F">
              <w:rPr>
                <w:bCs/>
                <w:lang w:val="en-US"/>
              </w:rPr>
              <w:t>.</w:t>
            </w:r>
          </w:p>
        </w:tc>
      </w:tr>
      <w:bookmarkEnd w:id="2"/>
    </w:tbl>
    <w:p w14:paraId="0A594716" w14:textId="77777777" w:rsidR="00354F5F" w:rsidRPr="00354F5F" w:rsidRDefault="00354F5F" w:rsidP="00354F5F">
      <w:pPr>
        <w:rPr>
          <w:lang w:val="en-US" w:eastAsia="en-US"/>
        </w:rPr>
      </w:pPr>
    </w:p>
    <w:p w14:paraId="20BB861A" w14:textId="3CF5783D" w:rsidR="00210D65" w:rsidRPr="00800867" w:rsidRDefault="00800867" w:rsidP="00210D65">
      <w:pPr>
        <w:overflowPunct w:val="0"/>
        <w:autoSpaceDE w:val="0"/>
        <w:autoSpaceDN w:val="0"/>
        <w:adjustRightInd w:val="0"/>
        <w:textAlignment w:val="baseline"/>
        <w:rPr>
          <w:bCs/>
          <w:lang w:val="en-US"/>
        </w:rPr>
      </w:pPr>
      <w:r>
        <w:rPr>
          <w:bCs/>
          <w:lang w:val="en-US"/>
        </w:rPr>
        <w:t>In this contribution we present our views on coverage enhancement in the downlink.</w:t>
      </w:r>
    </w:p>
    <w:p w14:paraId="5A6BA276" w14:textId="77777777" w:rsidR="0040552F" w:rsidRPr="00800867" w:rsidRDefault="0040552F" w:rsidP="00684346">
      <w:pPr>
        <w:rPr>
          <w:rFonts w:eastAsia="SimSun"/>
          <w:lang w:val="en-US"/>
        </w:rPr>
      </w:pPr>
    </w:p>
    <w:p w14:paraId="7C9299EF" w14:textId="61C50267" w:rsidR="00210D65" w:rsidRPr="00D6424A" w:rsidRDefault="00210D65" w:rsidP="00D6424A">
      <w:pPr>
        <w:pStyle w:val="berschrift1"/>
        <w:numPr>
          <w:ilvl w:val="0"/>
          <w:numId w:val="35"/>
        </w:numPr>
      </w:pPr>
      <w:r>
        <w:t>Discussion</w:t>
      </w:r>
    </w:p>
    <w:p w14:paraId="215358E4" w14:textId="4904CA5A" w:rsidR="00D6424A" w:rsidRDefault="00D6424A" w:rsidP="001411AB">
      <w:pPr>
        <w:pStyle w:val="berschrift2"/>
        <w:numPr>
          <w:ilvl w:val="1"/>
          <w:numId w:val="35"/>
        </w:numPr>
        <w:rPr>
          <w:sz w:val="28"/>
          <w:szCs w:val="28"/>
        </w:rPr>
      </w:pPr>
      <w:r w:rsidRPr="00175AF0">
        <w:rPr>
          <w:sz w:val="28"/>
          <w:szCs w:val="28"/>
        </w:rPr>
        <w:t xml:space="preserve">System Level </w:t>
      </w:r>
      <w:r w:rsidR="001635CB">
        <w:rPr>
          <w:sz w:val="28"/>
          <w:szCs w:val="28"/>
        </w:rPr>
        <w:t>Analysis</w:t>
      </w:r>
    </w:p>
    <w:p w14:paraId="38432D35" w14:textId="77777777" w:rsidR="00175AF0" w:rsidRPr="00175AF0" w:rsidRDefault="00175AF0" w:rsidP="00175AF0">
      <w:pPr>
        <w:rPr>
          <w:lang w:val="en-GB"/>
        </w:rPr>
      </w:pPr>
    </w:p>
    <w:p w14:paraId="5E690BAC" w14:textId="27ACB504" w:rsidR="00D44D5C" w:rsidRPr="00D6424A" w:rsidRDefault="001636D6" w:rsidP="00D6424A">
      <w:pPr>
        <w:pStyle w:val="berschrift4"/>
        <w:numPr>
          <w:ilvl w:val="2"/>
          <w:numId w:val="35"/>
        </w:numPr>
        <w:rPr>
          <w:sz w:val="24"/>
          <w:szCs w:val="24"/>
        </w:rPr>
      </w:pPr>
      <w:r w:rsidRPr="00D6424A">
        <w:rPr>
          <w:sz w:val="24"/>
          <w:szCs w:val="24"/>
        </w:rPr>
        <w:t>PFD Limit</w:t>
      </w:r>
    </w:p>
    <w:p w14:paraId="3DE68963" w14:textId="77777777" w:rsidR="00D44D5C" w:rsidRDefault="00D44D5C" w:rsidP="009C70D8">
      <w:pPr>
        <w:rPr>
          <w:lang w:val="en-US"/>
        </w:rPr>
      </w:pPr>
    </w:p>
    <w:p w14:paraId="7E004377" w14:textId="441B3B48" w:rsidR="00800867" w:rsidRDefault="00800867" w:rsidP="009C70D8">
      <w:pPr>
        <w:rPr>
          <w:lang w:val="en-US"/>
        </w:rPr>
      </w:pPr>
      <w:r>
        <w:rPr>
          <w:lang w:val="en-US"/>
        </w:rPr>
        <w:t xml:space="preserve">In set-1 and set-2 satellite parameters defined in TR38.821 [2] section 6.1.1.1, the EIRP density was defined without considering the </w:t>
      </w:r>
      <w:r w:rsidR="00CA2754">
        <w:rPr>
          <w:lang w:val="en-US"/>
        </w:rPr>
        <w:t xml:space="preserve">current </w:t>
      </w:r>
      <w:r>
        <w:rPr>
          <w:lang w:val="en-US"/>
        </w:rPr>
        <w:t>PFD (power flux density) limit as per ITU radio regulations [3].</w:t>
      </w:r>
      <w:r w:rsidR="009D40E7">
        <w:rPr>
          <w:lang w:val="en-US"/>
        </w:rPr>
        <w:t xml:space="preserve"> </w:t>
      </w:r>
    </w:p>
    <w:p w14:paraId="34678AAD" w14:textId="77777777" w:rsidR="009D40E7" w:rsidRDefault="009D40E7" w:rsidP="009C70D8">
      <w:pPr>
        <w:rPr>
          <w:lang w:val="en-US"/>
        </w:rPr>
      </w:pPr>
    </w:p>
    <w:p w14:paraId="44FCA30D" w14:textId="77777777" w:rsidR="009D40E7" w:rsidRDefault="009D40E7" w:rsidP="009C70D8">
      <w:pPr>
        <w:rPr>
          <w:lang w:val="en-US"/>
        </w:rPr>
      </w:pPr>
    </w:p>
    <w:p w14:paraId="6EC89341" w14:textId="62818979" w:rsidR="00846B78" w:rsidRPr="00846B78" w:rsidRDefault="00846B78" w:rsidP="00846B78">
      <w:pPr>
        <w:pStyle w:val="Beschriftung"/>
        <w:keepNext/>
        <w:jc w:val="center"/>
        <w:rPr>
          <w:lang w:val="en-US"/>
        </w:rPr>
      </w:pPr>
      <w:r w:rsidRPr="00846B78">
        <w:rPr>
          <w:lang w:val="en-US"/>
        </w:rPr>
        <w:t xml:space="preserve">Table </w:t>
      </w:r>
      <w:r>
        <w:fldChar w:fldCharType="begin"/>
      </w:r>
      <w:r w:rsidRPr="00846B78">
        <w:rPr>
          <w:lang w:val="en-US"/>
        </w:rPr>
        <w:instrText xml:space="preserve"> SEQ Table \* ARABIC </w:instrText>
      </w:r>
      <w:r>
        <w:fldChar w:fldCharType="separate"/>
      </w:r>
      <w:r w:rsidR="00CF2354">
        <w:rPr>
          <w:noProof/>
          <w:lang w:val="en-US"/>
        </w:rPr>
        <w:t>1</w:t>
      </w:r>
      <w:r>
        <w:fldChar w:fldCharType="end"/>
      </w:r>
      <w:r w:rsidRPr="00846B78">
        <w:rPr>
          <w:lang w:val="en-US"/>
        </w:rPr>
        <w:t xml:space="preserve"> </w:t>
      </w:r>
      <w:r w:rsidR="00CF2354" w:rsidRPr="00846B78">
        <w:rPr>
          <w:lang w:val="en-US"/>
        </w:rPr>
        <w:t>Set 1</w:t>
      </w:r>
      <w:r w:rsidRPr="00846B78">
        <w:rPr>
          <w:lang w:val="en-US"/>
        </w:rPr>
        <w:t xml:space="preserve"> Satellite parameters for system level simulator calibration [2]</w:t>
      </w:r>
    </w:p>
    <w:p w14:paraId="6C837F3C" w14:textId="3B573F5D" w:rsidR="009D40E7" w:rsidRDefault="009D40E7" w:rsidP="005A3F3E">
      <w:pPr>
        <w:jc w:val="center"/>
        <w:rPr>
          <w:lang w:val="en-US"/>
        </w:rPr>
      </w:pPr>
      <w:r>
        <w:rPr>
          <w:noProof/>
        </w:rPr>
        <w:drawing>
          <wp:inline distT="0" distB="0" distL="0" distR="0" wp14:anchorId="1D26B5D8" wp14:editId="711AD7E3">
            <wp:extent cx="4927821" cy="3479800"/>
            <wp:effectExtent l="0" t="0" r="6350" b="6350"/>
            <wp:docPr id="549593395" name="Grafik 1" descr="Ein Bild, das Text, Zahl, Schrift, Quit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593395" name="Grafik 1" descr="Ein Bild, das Text, Zahl, Schrift, Quittung enthält.&#10;&#10;Automatisch generierte Beschreibung"/>
                    <pic:cNvPicPr/>
                  </pic:nvPicPr>
                  <pic:blipFill>
                    <a:blip r:embed="rId11"/>
                    <a:stretch>
                      <a:fillRect/>
                    </a:stretch>
                  </pic:blipFill>
                  <pic:spPr>
                    <a:xfrm>
                      <a:off x="0" y="0"/>
                      <a:ext cx="4933557" cy="3483851"/>
                    </a:xfrm>
                    <a:prstGeom prst="rect">
                      <a:avLst/>
                    </a:prstGeom>
                  </pic:spPr>
                </pic:pic>
              </a:graphicData>
            </a:graphic>
          </wp:inline>
        </w:drawing>
      </w:r>
    </w:p>
    <w:p w14:paraId="05E92B13" w14:textId="77777777" w:rsidR="009D40E7" w:rsidRDefault="009D40E7" w:rsidP="009C70D8">
      <w:pPr>
        <w:rPr>
          <w:lang w:val="en-US"/>
        </w:rPr>
      </w:pPr>
    </w:p>
    <w:p w14:paraId="3A6BB00A" w14:textId="5C9A6741" w:rsidR="00846B78" w:rsidRPr="00CF2354" w:rsidRDefault="00846B78" w:rsidP="00846B78">
      <w:pPr>
        <w:pStyle w:val="Beschriftung"/>
        <w:keepNext/>
        <w:jc w:val="center"/>
        <w:rPr>
          <w:lang w:val="en-US"/>
        </w:rPr>
      </w:pPr>
      <w:r w:rsidRPr="00CF2354">
        <w:rPr>
          <w:lang w:val="en-US"/>
        </w:rPr>
        <w:lastRenderedPageBreak/>
        <w:t xml:space="preserve">Table </w:t>
      </w:r>
      <w:r>
        <w:fldChar w:fldCharType="begin"/>
      </w:r>
      <w:r w:rsidRPr="00CF2354">
        <w:rPr>
          <w:lang w:val="en-US"/>
        </w:rPr>
        <w:instrText xml:space="preserve"> SEQ Table \* ARABIC </w:instrText>
      </w:r>
      <w:r>
        <w:fldChar w:fldCharType="separate"/>
      </w:r>
      <w:r w:rsidR="00CF2354">
        <w:rPr>
          <w:noProof/>
          <w:lang w:val="en-US"/>
        </w:rPr>
        <w:t>2</w:t>
      </w:r>
      <w:r>
        <w:fldChar w:fldCharType="end"/>
      </w:r>
      <w:r w:rsidRPr="00CF2354">
        <w:rPr>
          <w:lang w:val="en-US"/>
        </w:rPr>
        <w:t xml:space="preserve"> </w:t>
      </w:r>
      <w:r w:rsidR="00CF2354" w:rsidRPr="00CF2354">
        <w:rPr>
          <w:lang w:val="en-US"/>
        </w:rPr>
        <w:t>Set 2</w:t>
      </w:r>
      <w:r w:rsidRPr="00CF2354">
        <w:rPr>
          <w:lang w:val="en-US"/>
        </w:rPr>
        <w:t xml:space="preserve"> Satellite parameters for system level simulator calibration [2]</w:t>
      </w:r>
    </w:p>
    <w:p w14:paraId="5A538E8A" w14:textId="11D12651" w:rsidR="009D40E7" w:rsidRDefault="009D40E7" w:rsidP="005A3F3E">
      <w:pPr>
        <w:jc w:val="center"/>
        <w:rPr>
          <w:lang w:val="en-US"/>
        </w:rPr>
      </w:pPr>
      <w:r>
        <w:rPr>
          <w:noProof/>
        </w:rPr>
        <w:drawing>
          <wp:inline distT="0" distB="0" distL="0" distR="0" wp14:anchorId="1FB7AA73" wp14:editId="3A18E434">
            <wp:extent cx="4747846" cy="3490542"/>
            <wp:effectExtent l="0" t="0" r="0" b="0"/>
            <wp:docPr id="1611422306" name="Grafik 1" descr="Ein Bild, das Text, Zahl, Schrift, Quit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422306" name="Grafik 1" descr="Ein Bild, das Text, Zahl, Schrift, Quittung enthält.&#10;&#10;Automatisch generierte Beschreibung"/>
                    <pic:cNvPicPr/>
                  </pic:nvPicPr>
                  <pic:blipFill>
                    <a:blip r:embed="rId12"/>
                    <a:stretch>
                      <a:fillRect/>
                    </a:stretch>
                  </pic:blipFill>
                  <pic:spPr>
                    <a:xfrm>
                      <a:off x="0" y="0"/>
                      <a:ext cx="4757482" cy="3497626"/>
                    </a:xfrm>
                    <a:prstGeom prst="rect">
                      <a:avLst/>
                    </a:prstGeom>
                  </pic:spPr>
                </pic:pic>
              </a:graphicData>
            </a:graphic>
          </wp:inline>
        </w:drawing>
      </w:r>
    </w:p>
    <w:p w14:paraId="3F4F8848" w14:textId="77777777" w:rsidR="009D40E7" w:rsidRDefault="009D40E7" w:rsidP="009C70D8">
      <w:pPr>
        <w:rPr>
          <w:lang w:val="en-US"/>
        </w:rPr>
      </w:pPr>
    </w:p>
    <w:p w14:paraId="1A781FC6" w14:textId="13E9C29A" w:rsidR="009D40E7" w:rsidRDefault="009D40E7" w:rsidP="009C70D8">
      <w:pPr>
        <w:rPr>
          <w:lang w:val="en-US"/>
        </w:rPr>
      </w:pPr>
      <w:r>
        <w:rPr>
          <w:lang w:val="en-US"/>
        </w:rPr>
        <w:t xml:space="preserve">Taking the </w:t>
      </w:r>
      <w:r w:rsidR="00CA2754">
        <w:rPr>
          <w:lang w:val="en-US"/>
        </w:rPr>
        <w:t xml:space="preserve">current </w:t>
      </w:r>
      <w:r>
        <w:rPr>
          <w:lang w:val="en-US"/>
        </w:rPr>
        <w:t xml:space="preserve">PFD limit into account </w:t>
      </w:r>
      <w:r w:rsidR="00A43D33">
        <w:rPr>
          <w:lang w:val="en-US"/>
        </w:rPr>
        <w:t xml:space="preserve">will have an impact on the </w:t>
      </w:r>
      <w:r w:rsidR="00CA2754">
        <w:rPr>
          <w:lang w:val="en-US"/>
        </w:rPr>
        <w:t xml:space="preserve">achievable </w:t>
      </w:r>
      <w:r w:rsidR="00A43D33">
        <w:rPr>
          <w:lang w:val="en-US"/>
        </w:rPr>
        <w:t xml:space="preserve">EIRP density, and subsequently, on the CNR required to close the link as defined in the link budget calculations in TR38.821 </w:t>
      </w:r>
      <w:r w:rsidR="00A43D33" w:rsidRPr="00A43D33">
        <w:rPr>
          <w:lang w:val="en-US"/>
        </w:rPr>
        <w:t>Table 6.1.3.3</w:t>
      </w:r>
      <w:r w:rsidR="00A43D33">
        <w:rPr>
          <w:lang w:val="en-US"/>
        </w:rPr>
        <w:t>.</w:t>
      </w:r>
    </w:p>
    <w:p w14:paraId="1296677F" w14:textId="77777777" w:rsidR="00A43D33" w:rsidRDefault="00A43D33" w:rsidP="009C70D8">
      <w:pPr>
        <w:rPr>
          <w:lang w:val="en-US"/>
        </w:rPr>
      </w:pPr>
    </w:p>
    <w:p w14:paraId="2F39F645" w14:textId="77777777" w:rsidR="00D44D5C" w:rsidRDefault="00D44D5C" w:rsidP="00D44D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D44D5C">
        <w:rPr>
          <w:lang w:val="en-US"/>
        </w:rPr>
        <w:t xml:space="preserve">The power flux density is defined as the amount of power flow through a unit area within a unit bandwidth. The power flux density is calculated by </w:t>
      </w:r>
      <m:oMath>
        <m:f>
          <m:fPr>
            <m:ctrlPr>
              <w:rPr>
                <w:rFonts w:ascii="Cambria Math" w:hAnsi="Cambria Math"/>
                <w:lang w:val="en-US"/>
              </w:rPr>
            </m:ctrlPr>
          </m:fPr>
          <m:num>
            <m:r>
              <w:rPr>
                <w:rFonts w:ascii="Cambria Math" w:hAnsi="Cambria Math"/>
                <w:lang w:val="en-US"/>
              </w:rPr>
              <m:t>EIRP</m:t>
            </m:r>
          </m:num>
          <m:den>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d</m:t>
                </m:r>
              </m:e>
              <m:sup>
                <m:r>
                  <m:rPr>
                    <m:sty m:val="p"/>
                  </m:rPr>
                  <w:rPr>
                    <w:rFonts w:ascii="Cambria Math" w:hAnsi="Cambria Math"/>
                    <w:lang w:val="en-US"/>
                  </w:rPr>
                  <m:t>2</m:t>
                </m:r>
              </m:sup>
            </m:sSup>
          </m:den>
        </m:f>
      </m:oMath>
      <w:r w:rsidRPr="00D44D5C">
        <w:rPr>
          <w:lang w:val="en-US"/>
        </w:rPr>
        <w:t xml:space="preserve">, where </w:t>
      </w:r>
      <m:oMath>
        <m:r>
          <w:rPr>
            <w:rFonts w:ascii="Cambria Math" w:hAnsi="Cambria Math"/>
            <w:lang w:val="en-US"/>
          </w:rPr>
          <m:t>d</m:t>
        </m:r>
        <m:r>
          <m:rPr>
            <m:sty m:val="p"/>
          </m:rPr>
          <w:rPr>
            <w:rFonts w:ascii="Cambria Math" w:hAnsi="Cambria Math"/>
            <w:lang w:val="en-US"/>
          </w:rPr>
          <m:t xml:space="preserve"> </m:t>
        </m:r>
      </m:oMath>
      <w:r w:rsidRPr="00D44D5C">
        <w:rPr>
          <w:lang w:val="en-US"/>
        </w:rPr>
        <w:t xml:space="preserve">is the distance from satellite to UE. </w:t>
      </w:r>
    </w:p>
    <w:p w14:paraId="07B502F0" w14:textId="77777777" w:rsidR="004961A1" w:rsidRDefault="004961A1" w:rsidP="00D44D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p>
    <w:p w14:paraId="2BAC9062" w14:textId="4D423F22" w:rsidR="004961A1" w:rsidRPr="004961A1" w:rsidRDefault="004961A1" w:rsidP="004961A1">
      <w:pPr>
        <w:spacing w:afterLines="50" w:after="120"/>
        <w:rPr>
          <w:lang w:val="en-US"/>
        </w:rPr>
      </w:pPr>
      <w:r w:rsidRPr="004961A1">
        <w:rPr>
          <w:lang w:val="en-US"/>
        </w:rPr>
        <w:t xml:space="preserve">PFD can be calculated </w:t>
      </w:r>
      <w:r w:rsidR="001A0708">
        <w:rPr>
          <w:lang w:val="en-US"/>
        </w:rPr>
        <w:t>using</w:t>
      </w:r>
      <w:r w:rsidRPr="004961A1">
        <w:rPr>
          <w:lang w:val="en-US"/>
        </w:rPr>
        <w:t xml:space="preserve"> the following equation, where d is the distance between the satellite and the ground terminal.</w:t>
      </w:r>
    </w:p>
    <w:p w14:paraId="65887E52" w14:textId="262618D7" w:rsidR="004961A1" w:rsidRPr="001A65AE" w:rsidRDefault="004961A1" w:rsidP="001A65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lang w:val="en-US"/>
        </w:rPr>
      </w:pPr>
      <m:oMathPara>
        <m:oMath>
          <m:r>
            <w:rPr>
              <w:rFonts w:ascii="Cambria Math" w:hAnsi="Cambria Math"/>
              <w:lang w:val="en-US"/>
            </w:rPr>
            <m:t>PFD</m:t>
          </m:r>
          <m:r>
            <m:rPr>
              <m:sty m:val="p"/>
            </m:rPr>
            <w:rPr>
              <w:rFonts w:ascii="Cambria Math" w:hAnsi="Cambria Math"/>
              <w:lang w:val="en-US"/>
            </w:rPr>
            <m:t>=</m:t>
          </m:r>
          <m:r>
            <w:rPr>
              <w:rFonts w:ascii="Cambria Math" w:hAnsi="Cambria Math"/>
              <w:lang w:val="en-US"/>
            </w:rPr>
            <m:t>EIRP</m:t>
          </m:r>
          <m:r>
            <m:rPr>
              <m:sty m:val="p"/>
            </m:rPr>
            <w:rPr>
              <w:rFonts w:ascii="Cambria Math" w:hAnsi="Cambria Math"/>
              <w:lang w:val="en-US"/>
            </w:rPr>
            <m:t xml:space="preserve"> </m:t>
          </m:r>
          <m:r>
            <w:rPr>
              <w:rFonts w:ascii="Cambria Math" w:hAnsi="Cambria Math"/>
              <w:lang w:val="en-US"/>
            </w:rPr>
            <m:t>density</m:t>
          </m:r>
          <m:r>
            <m:rPr>
              <m:sty m:val="p"/>
            </m:rPr>
            <w:rPr>
              <w:rFonts w:ascii="Cambria Math" w:hAnsi="Cambria Math"/>
              <w:lang w:val="en-US"/>
            </w:rPr>
            <m:t>-10</m:t>
          </m:r>
          <m:func>
            <m:funcPr>
              <m:ctrlPr>
                <w:rPr>
                  <w:rFonts w:ascii="Cambria Math" w:hAnsi="Cambria Math"/>
                  <w:lang w:val="en-US"/>
                </w:rPr>
              </m:ctrlPr>
            </m:funcPr>
            <m:fName>
              <m:r>
                <m:rPr>
                  <m:sty m:val="p"/>
                </m:rPr>
                <w:rPr>
                  <w:rFonts w:ascii="Cambria Math" w:hAnsi="Cambria Math"/>
                  <w:lang w:val="en-US"/>
                </w:rPr>
                <m:t>log</m:t>
              </m:r>
            </m:fName>
            <m:e>
              <m:d>
                <m:dPr>
                  <m:ctrlPr>
                    <w:rPr>
                      <w:rFonts w:ascii="Cambria Math" w:hAnsi="Cambria Math"/>
                      <w:lang w:val="en-US"/>
                    </w:rPr>
                  </m:ctrlPr>
                </m:dPr>
                <m:e>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d</m:t>
                      </m:r>
                    </m:e>
                    <m:sup>
                      <m:r>
                        <m:rPr>
                          <m:sty m:val="p"/>
                        </m:rPr>
                        <w:rPr>
                          <w:rFonts w:ascii="Cambria Math" w:hAnsi="Cambria Math"/>
                          <w:lang w:val="en-US"/>
                        </w:rPr>
                        <m:t>2</m:t>
                      </m:r>
                    </m:sup>
                  </m:sSup>
                </m:e>
              </m:d>
            </m:e>
          </m:func>
          <m:r>
            <w:rPr>
              <w:rFonts w:ascii="Cambria Math" w:hAnsi="Cambria Math"/>
              <w:lang w:val="en-US"/>
            </w:rPr>
            <m:t>+10</m:t>
          </m:r>
          <m:r>
            <m:rPr>
              <m:sty m:val="p"/>
            </m:rPr>
            <w:rPr>
              <w:rFonts w:ascii="Cambria Math" w:hAnsi="Cambria Math"/>
              <w:lang w:val="en-US"/>
            </w:rPr>
            <m:t>log⁡</m:t>
          </m:r>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ref</m:t>
                  </m:r>
                </m:sub>
              </m:sSub>
            </m:num>
            <m:den>
              <m:r>
                <w:rPr>
                  <w:rFonts w:ascii="Cambria Math" w:hAnsi="Cambria Math"/>
                  <w:lang w:val="en-US"/>
                </w:rPr>
                <m:t>1 MHz</m:t>
              </m:r>
            </m:den>
          </m:f>
          <m:r>
            <w:rPr>
              <w:rFonts w:ascii="Cambria Math" w:hAnsi="Cambria Math"/>
              <w:lang w:val="en-US"/>
            </w:rPr>
            <m:t>)</m:t>
          </m:r>
        </m:oMath>
      </m:oMathPara>
    </w:p>
    <w:p w14:paraId="28CE0CD8" w14:textId="77777777" w:rsidR="00A43D33" w:rsidRPr="001A65AE" w:rsidRDefault="00A43D33" w:rsidP="009C70D8">
      <w:pPr>
        <w:rPr>
          <w:lang w:val="en-US"/>
        </w:rPr>
      </w:pPr>
    </w:p>
    <w:p w14:paraId="3F4F60E6" w14:textId="14DC3378" w:rsidR="004961A1" w:rsidRPr="00A43D33" w:rsidRDefault="00CA2754" w:rsidP="009C70D8">
      <w:pPr>
        <w:rPr>
          <w:lang w:val="en-US"/>
        </w:rPr>
      </w:pPr>
      <w:r>
        <w:rPr>
          <w:lang w:val="en-US"/>
        </w:rPr>
        <w:t>T</w:t>
      </w:r>
      <w:r w:rsidR="004961A1">
        <w:rPr>
          <w:lang w:val="en-US"/>
        </w:rPr>
        <w:t xml:space="preserve">he EIRP density </w:t>
      </w:r>
      <w:r>
        <w:rPr>
          <w:lang w:val="en-US"/>
        </w:rPr>
        <w:t xml:space="preserve">is defined </w:t>
      </w:r>
      <w:r w:rsidR="004961A1">
        <w:rPr>
          <w:lang w:val="en-US"/>
        </w:rPr>
        <w:t>as follow</w:t>
      </w:r>
      <w:r>
        <w:rPr>
          <w:lang w:val="en-US"/>
        </w:rPr>
        <w:t>s</w:t>
      </w:r>
      <w:r w:rsidR="004961A1">
        <w:rPr>
          <w:lang w:val="en-US"/>
        </w:rPr>
        <w:t>:</w:t>
      </w:r>
    </w:p>
    <w:p w14:paraId="3E204136" w14:textId="77777777" w:rsidR="009D40E7" w:rsidRDefault="009D40E7" w:rsidP="009C70D8">
      <w:pPr>
        <w:rPr>
          <w:lang w:val="en-US"/>
        </w:rPr>
      </w:pPr>
    </w:p>
    <w:p w14:paraId="40265EC7" w14:textId="14006767" w:rsidR="001A65AE" w:rsidRDefault="004961A1" w:rsidP="00C2198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lang w:val="en-US"/>
        </w:rPr>
      </w:pPr>
      <m:oMathPara>
        <m:oMath>
          <m:r>
            <w:rPr>
              <w:rFonts w:ascii="Cambria Math" w:hAnsi="Cambria Math"/>
              <w:lang w:val="en-US"/>
            </w:rPr>
            <m:t>EIRP density</m:t>
          </m:r>
          <m:r>
            <m:rPr>
              <m:sty m:val="p"/>
            </m:rPr>
            <w:rPr>
              <w:rFonts w:ascii="Cambria Math" w:hAnsi="Cambria Math"/>
              <w:lang w:val="en-US"/>
            </w:rPr>
            <m:t>=</m:t>
          </m:r>
          <m:r>
            <w:rPr>
              <w:rFonts w:ascii="Cambria Math" w:hAnsi="Cambria Math"/>
              <w:lang w:val="en-US"/>
            </w:rPr>
            <m:t>PFD</m:t>
          </m:r>
          <m:r>
            <m:rPr>
              <m:sty m:val="p"/>
            </m:rPr>
            <w:rPr>
              <w:rFonts w:ascii="Cambria Math" w:hAnsi="Cambria Math"/>
              <w:lang w:val="en-US"/>
            </w:rPr>
            <m:t>+10</m:t>
          </m:r>
          <m:func>
            <m:funcPr>
              <m:ctrlPr>
                <w:rPr>
                  <w:rFonts w:ascii="Cambria Math" w:hAnsi="Cambria Math"/>
                  <w:lang w:val="en-US"/>
                </w:rPr>
              </m:ctrlPr>
            </m:funcPr>
            <m:fName>
              <m:r>
                <m:rPr>
                  <m:sty m:val="p"/>
                </m:rPr>
                <w:rPr>
                  <w:rFonts w:ascii="Cambria Math" w:hAnsi="Cambria Math"/>
                  <w:lang w:val="en-US"/>
                </w:rPr>
                <m:t>log</m:t>
              </m:r>
            </m:fName>
            <m:e>
              <m:d>
                <m:dPr>
                  <m:ctrlPr>
                    <w:rPr>
                      <w:rFonts w:ascii="Cambria Math" w:hAnsi="Cambria Math"/>
                      <w:lang w:val="en-US"/>
                    </w:rPr>
                  </m:ctrlPr>
                </m:dPr>
                <m:e>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d</m:t>
                      </m:r>
                    </m:e>
                    <m:sup>
                      <m:r>
                        <m:rPr>
                          <m:sty m:val="p"/>
                        </m:rPr>
                        <w:rPr>
                          <w:rFonts w:ascii="Cambria Math" w:hAnsi="Cambria Math"/>
                          <w:lang w:val="en-US"/>
                        </w:rPr>
                        <m:t>2</m:t>
                      </m:r>
                    </m:sup>
                  </m:sSup>
                </m:e>
              </m:d>
              <m:r>
                <w:rPr>
                  <w:rFonts w:ascii="Cambria Math" w:hAnsi="Cambria Math"/>
                  <w:lang w:val="en-US"/>
                </w:rPr>
                <m:t>-10</m:t>
              </m:r>
              <m:r>
                <m:rPr>
                  <m:sty m:val="p"/>
                </m:rPr>
                <w:rPr>
                  <w:rFonts w:ascii="Cambria Math" w:hAnsi="Cambria Math"/>
                  <w:lang w:val="en-US"/>
                </w:rPr>
                <m:t>log⁡</m:t>
              </m:r>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ref</m:t>
                      </m:r>
                    </m:sub>
                  </m:sSub>
                </m:num>
                <m:den>
                  <m:r>
                    <w:rPr>
                      <w:rFonts w:ascii="Cambria Math" w:hAnsi="Cambria Math"/>
                      <w:lang w:val="en-US"/>
                    </w:rPr>
                    <m:t>1 MHz</m:t>
                  </m:r>
                </m:den>
              </m:f>
            </m:e>
          </m:func>
          <m:r>
            <w:rPr>
              <w:rFonts w:ascii="Cambria Math" w:hAnsi="Cambria Math"/>
              <w:lang w:val="en-US"/>
            </w:rPr>
            <m:t>)</m:t>
          </m:r>
        </m:oMath>
      </m:oMathPara>
    </w:p>
    <w:p w14:paraId="6FE57778" w14:textId="77777777" w:rsidR="001A65AE" w:rsidRDefault="001A65AE" w:rsidP="001A65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en-US"/>
        </w:rPr>
      </w:pPr>
    </w:p>
    <w:p w14:paraId="7AB35C5A" w14:textId="2C07AEF8" w:rsidR="00C90CF2" w:rsidRDefault="00C90CF2" w:rsidP="00C90C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Cs/>
          <w:lang w:val="en-US"/>
        </w:rPr>
      </w:pPr>
      <w:r>
        <w:rPr>
          <w:rFonts w:eastAsia="SimSun"/>
          <w:bCs/>
          <w:lang w:val="en-US"/>
        </w:rPr>
        <w:t>T</w:t>
      </w:r>
      <w:r w:rsidRPr="00C90CF2">
        <w:rPr>
          <w:rFonts w:eastAsia="SimSun"/>
          <w:bCs/>
          <w:lang w:val="en-US"/>
        </w:rPr>
        <w:t xml:space="preserve">he </w:t>
      </w:r>
      <w:r>
        <w:rPr>
          <w:rFonts w:eastAsia="SimSun"/>
          <w:bCs/>
          <w:lang w:val="en-US"/>
        </w:rPr>
        <w:t>PFD</w:t>
      </w:r>
      <w:r w:rsidRPr="00C90CF2">
        <w:rPr>
          <w:rFonts w:eastAsia="SimSun"/>
          <w:bCs/>
          <w:lang w:val="en-US"/>
        </w:rPr>
        <w:t xml:space="preserve"> limitation</w:t>
      </w:r>
      <w:r>
        <w:rPr>
          <w:rFonts w:eastAsia="SimSun"/>
          <w:bCs/>
          <w:lang w:val="en-US"/>
        </w:rPr>
        <w:t xml:space="preserve"> according to ITU</w:t>
      </w:r>
      <w:r w:rsidRPr="00C90CF2">
        <w:rPr>
          <w:rFonts w:eastAsia="SimSun"/>
          <w:bCs/>
          <w:lang w:val="en-US"/>
        </w:rPr>
        <w:t xml:space="preserve"> is shown </w:t>
      </w:r>
      <w:r>
        <w:rPr>
          <w:rFonts w:eastAsia="SimSun"/>
          <w:bCs/>
          <w:lang w:val="en-US"/>
        </w:rPr>
        <w:t>below</w:t>
      </w:r>
      <w:r w:rsidR="002222CC">
        <w:rPr>
          <w:rFonts w:eastAsia="SimSun"/>
          <w:bCs/>
          <w:lang w:val="en-US"/>
        </w:rPr>
        <w:t>, where t</w:t>
      </w:r>
      <w:r w:rsidRPr="00C90CF2">
        <w:rPr>
          <w:rFonts w:eastAsia="SimSun"/>
          <w:bCs/>
          <w:lang w:val="en-US"/>
        </w:rPr>
        <w:t>he power flux density threshold is given by</w:t>
      </w:r>
      <w:r>
        <w:rPr>
          <w:rFonts w:eastAsia="SimSun"/>
          <w:bCs/>
          <w:lang w:val="en-US"/>
        </w:rPr>
        <w:t>:</w:t>
      </w:r>
    </w:p>
    <w:p w14:paraId="58F500D3" w14:textId="77777777" w:rsidR="00C90CF2" w:rsidRPr="00C90CF2" w:rsidRDefault="00C90CF2" w:rsidP="00C90C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Cs/>
          <w:lang w:val="en-US"/>
        </w:rPr>
      </w:pPr>
    </w:p>
    <w:p w14:paraId="517F1CE3" w14:textId="1837A6D5" w:rsidR="00C90CF2" w:rsidRDefault="00C90CF2" w:rsidP="00C90C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SimSun"/>
        </w:rPr>
      </w:pPr>
      <m:oMathPara>
        <m:oMath>
          <m:r>
            <w:rPr>
              <w:rFonts w:ascii="Cambria Math" w:eastAsia="SimSun" w:hAnsi="Cambria Math"/>
            </w:rPr>
            <m:t xml:space="preserve">P  for </m:t>
          </m:r>
          <m:sSup>
            <m:sSupPr>
              <m:ctrlPr>
                <w:rPr>
                  <w:rFonts w:ascii="Cambria Math" w:eastAsia="SimSun" w:hAnsi="Cambria Math"/>
                  <w:bCs/>
                  <w:i/>
                  <w:lang w:val="en-US" w:eastAsia="zh-CN"/>
                </w:rPr>
              </m:ctrlPr>
            </m:sSupPr>
            <m:e>
              <m:r>
                <w:rPr>
                  <w:rFonts w:ascii="Cambria Math" w:eastAsia="SimSun" w:hAnsi="Cambria Math"/>
                </w:rPr>
                <m:t>0</m:t>
              </m:r>
            </m:e>
            <m:sup>
              <m:r>
                <w:rPr>
                  <w:rFonts w:ascii="Cambria Math" w:eastAsia="SimSun" w:hAnsi="Cambria Math"/>
                </w:rPr>
                <m:t>o</m:t>
              </m:r>
            </m:sup>
          </m:sSup>
          <m:r>
            <w:rPr>
              <w:rFonts w:ascii="Cambria Math" w:eastAsia="SimSun" w:hAnsi="Cambria Math"/>
            </w:rPr>
            <m:t>≤δ≤</m:t>
          </m:r>
          <m:sSup>
            <m:sSupPr>
              <m:ctrlPr>
                <w:rPr>
                  <w:rFonts w:ascii="Cambria Math" w:eastAsia="SimSun" w:hAnsi="Cambria Math"/>
                  <w:bCs/>
                  <w:i/>
                  <w:lang w:val="en-US" w:eastAsia="zh-CN"/>
                </w:rPr>
              </m:ctrlPr>
            </m:sSupPr>
            <m:e>
              <m:r>
                <w:rPr>
                  <w:rFonts w:ascii="Cambria Math" w:eastAsia="SimSun" w:hAnsi="Cambria Math"/>
                </w:rPr>
                <m:t>5</m:t>
              </m:r>
            </m:e>
            <m:sup>
              <m:r>
                <w:rPr>
                  <w:rFonts w:ascii="Cambria Math" w:eastAsia="SimSun" w:hAnsi="Cambria Math"/>
                </w:rPr>
                <m:t>o</m:t>
              </m:r>
            </m:sup>
          </m:sSup>
          <m:r>
            <w:rPr>
              <w:rFonts w:ascii="Cambria Math" w:eastAsia="SimSun" w:hAnsi="Cambria Math"/>
            </w:rPr>
            <m:t>; P+r</m:t>
          </m:r>
          <m:d>
            <m:dPr>
              <m:ctrlPr>
                <w:rPr>
                  <w:rFonts w:ascii="Cambria Math" w:eastAsia="SimSun" w:hAnsi="Cambria Math"/>
                  <w:bCs/>
                  <w:i/>
                  <w:lang w:val="en-US" w:eastAsia="zh-CN"/>
                </w:rPr>
              </m:ctrlPr>
            </m:dPr>
            <m:e>
              <m:r>
                <w:rPr>
                  <w:rFonts w:ascii="Cambria Math" w:eastAsia="SimSun" w:hAnsi="Cambria Math"/>
                </w:rPr>
                <m:t>δ-5</m:t>
              </m:r>
            </m:e>
          </m:d>
          <m:r>
            <w:rPr>
              <w:rFonts w:ascii="Cambria Math" w:eastAsia="SimSun" w:hAnsi="Cambria Math"/>
            </w:rPr>
            <m:t xml:space="preserve"> for </m:t>
          </m:r>
          <m:sSup>
            <m:sSupPr>
              <m:ctrlPr>
                <w:rPr>
                  <w:rFonts w:ascii="Cambria Math" w:eastAsia="SimSun" w:hAnsi="Cambria Math"/>
                  <w:bCs/>
                  <w:i/>
                  <w:lang w:val="en-US" w:eastAsia="zh-CN"/>
                </w:rPr>
              </m:ctrlPr>
            </m:sSupPr>
            <m:e>
              <m:r>
                <w:rPr>
                  <w:rFonts w:ascii="Cambria Math" w:eastAsia="SimSun" w:hAnsi="Cambria Math"/>
                </w:rPr>
                <m:t>5</m:t>
              </m:r>
            </m:e>
            <m:sup>
              <m:r>
                <w:rPr>
                  <w:rFonts w:ascii="Cambria Math" w:eastAsia="SimSun" w:hAnsi="Cambria Math"/>
                </w:rPr>
                <m:t>o</m:t>
              </m:r>
            </m:sup>
          </m:sSup>
          <m:r>
            <w:rPr>
              <w:rFonts w:ascii="Cambria Math" w:eastAsia="SimSun" w:hAnsi="Cambria Math"/>
            </w:rPr>
            <m:t>&lt;δ≤</m:t>
          </m:r>
          <m:sSup>
            <m:sSupPr>
              <m:ctrlPr>
                <w:rPr>
                  <w:rFonts w:ascii="Cambria Math" w:eastAsia="SimSun" w:hAnsi="Cambria Math"/>
                  <w:bCs/>
                  <w:i/>
                  <w:lang w:val="en-US" w:eastAsia="zh-CN"/>
                </w:rPr>
              </m:ctrlPr>
            </m:sSupPr>
            <m:e>
              <m:r>
                <w:rPr>
                  <w:rFonts w:ascii="Cambria Math" w:eastAsia="SimSun" w:hAnsi="Cambria Math"/>
                </w:rPr>
                <m:t>25</m:t>
              </m:r>
            </m:e>
            <m:sup>
              <m:r>
                <w:rPr>
                  <w:rFonts w:ascii="Cambria Math" w:eastAsia="SimSun" w:hAnsi="Cambria Math"/>
                </w:rPr>
                <m:t>o</m:t>
              </m:r>
            </m:sup>
          </m:sSup>
          <m:r>
            <w:rPr>
              <w:rFonts w:ascii="Cambria Math" w:eastAsia="SimSun" w:hAnsi="Cambria Math"/>
            </w:rPr>
            <m:t xml:space="preserve">;P+20r  for </m:t>
          </m:r>
          <m:sSup>
            <m:sSupPr>
              <m:ctrlPr>
                <w:rPr>
                  <w:rFonts w:ascii="Cambria Math" w:eastAsia="SimSun" w:hAnsi="Cambria Math"/>
                  <w:bCs/>
                  <w:i/>
                  <w:lang w:val="en-US" w:eastAsia="zh-CN"/>
                </w:rPr>
              </m:ctrlPr>
            </m:sSupPr>
            <m:e>
              <m:r>
                <w:rPr>
                  <w:rFonts w:ascii="Cambria Math" w:eastAsia="SimSun" w:hAnsi="Cambria Math"/>
                </w:rPr>
                <m:t>25</m:t>
              </m:r>
            </m:e>
            <m:sup>
              <m:r>
                <w:rPr>
                  <w:rFonts w:ascii="Cambria Math" w:eastAsia="SimSun" w:hAnsi="Cambria Math"/>
                </w:rPr>
                <m:t>o</m:t>
              </m:r>
            </m:sup>
          </m:sSup>
          <m:r>
            <w:rPr>
              <w:rFonts w:ascii="Cambria Math" w:eastAsia="SimSun" w:hAnsi="Cambria Math"/>
            </w:rPr>
            <m:t>&lt;δ≤</m:t>
          </m:r>
          <m:sSup>
            <m:sSupPr>
              <m:ctrlPr>
                <w:rPr>
                  <w:rFonts w:ascii="Cambria Math" w:eastAsia="SimSun" w:hAnsi="Cambria Math"/>
                  <w:bCs/>
                  <w:i/>
                  <w:lang w:val="en-US" w:eastAsia="zh-CN"/>
                </w:rPr>
              </m:ctrlPr>
            </m:sSupPr>
            <m:e>
              <m:r>
                <w:rPr>
                  <w:rFonts w:ascii="Cambria Math" w:eastAsia="SimSun" w:hAnsi="Cambria Math"/>
                </w:rPr>
                <m:t>90</m:t>
              </m:r>
            </m:e>
            <m:sup>
              <m:r>
                <w:rPr>
                  <w:rFonts w:ascii="Cambria Math" w:eastAsia="SimSun" w:hAnsi="Cambria Math"/>
                </w:rPr>
                <m:t>o</m:t>
              </m:r>
            </m:sup>
          </m:sSup>
          <m:r>
            <w:rPr>
              <w:rFonts w:ascii="Cambria Math" w:eastAsia="SimSun" w:hAnsi="Cambria Math"/>
            </w:rPr>
            <m:t>.</m:t>
          </m:r>
        </m:oMath>
      </m:oMathPara>
    </w:p>
    <w:p w14:paraId="131A12AA" w14:textId="791A7EC0" w:rsidR="00C90CF2" w:rsidRPr="00C90CF2" w:rsidRDefault="00C90CF2" w:rsidP="00C90C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SimSun"/>
          <w:lang w:val="en-US"/>
        </w:rPr>
      </w:pPr>
      <w:r w:rsidRPr="00C90CF2">
        <w:rPr>
          <w:rFonts w:eastAsia="SimSun"/>
          <w:lang w:val="en-US"/>
        </w:rPr>
        <w:t xml:space="preserve">Where: </w:t>
      </w:r>
      <m:oMath>
        <m:r>
          <w:rPr>
            <w:rFonts w:ascii="Cambria Math" w:eastAsia="SimSun" w:hAnsi="Cambria Math"/>
            <w:lang w:val="en-US"/>
          </w:rPr>
          <m:t>δ</m:t>
        </m:r>
      </m:oMath>
      <w:r w:rsidRPr="00C90CF2">
        <w:rPr>
          <w:bCs/>
          <w:lang w:val="en-US"/>
        </w:rPr>
        <w:t xml:space="preserve"> is the elevation angle.</w:t>
      </w:r>
    </w:p>
    <w:p w14:paraId="63D0DA3E" w14:textId="5BAF0F08" w:rsidR="00CF2354" w:rsidRDefault="00CF2354" w:rsidP="00CF2354">
      <w:pPr>
        <w:pStyle w:val="Beschriftung"/>
        <w:keepNext/>
        <w:jc w:val="center"/>
      </w:pPr>
      <w:r>
        <w:lastRenderedPageBreak/>
        <w:t xml:space="preserve">Table </w:t>
      </w:r>
      <w:r>
        <w:fldChar w:fldCharType="begin"/>
      </w:r>
      <w:r>
        <w:instrText xml:space="preserve"> SEQ Table \* ARABIC </w:instrText>
      </w:r>
      <w:r>
        <w:fldChar w:fldCharType="separate"/>
      </w:r>
      <w:r>
        <w:rPr>
          <w:noProof/>
        </w:rPr>
        <w:t>3</w:t>
      </w:r>
      <w:r>
        <w:fldChar w:fldCharType="end"/>
      </w:r>
      <w:r>
        <w:t xml:space="preserve"> PFD Threshold [3]</w:t>
      </w:r>
    </w:p>
    <w:p w14:paraId="21631FF9" w14:textId="5952A209" w:rsidR="00C90CF2" w:rsidRDefault="00C90CF2" w:rsidP="005A3F3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center"/>
        <w:rPr>
          <w:rFonts w:eastAsia="SimSun"/>
          <w:bCs/>
        </w:rPr>
      </w:pPr>
      <w:r>
        <w:rPr>
          <w:noProof/>
        </w:rPr>
        <w:drawing>
          <wp:inline distT="0" distB="0" distL="0" distR="0" wp14:anchorId="521F20D0" wp14:editId="7232E325">
            <wp:extent cx="3035935" cy="4028548"/>
            <wp:effectExtent l="0" t="0" r="0" b="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pic:cNvPicPr>
                  </pic:nvPicPr>
                  <pic:blipFill>
                    <a:blip r:embed="rId13"/>
                    <a:stretch>
                      <a:fillRect/>
                    </a:stretch>
                  </pic:blipFill>
                  <pic:spPr>
                    <a:xfrm>
                      <a:off x="0" y="0"/>
                      <a:ext cx="3047227" cy="4043532"/>
                    </a:xfrm>
                    <a:prstGeom prst="rect">
                      <a:avLst/>
                    </a:prstGeom>
                  </pic:spPr>
                </pic:pic>
              </a:graphicData>
            </a:graphic>
          </wp:inline>
        </w:drawing>
      </w:r>
    </w:p>
    <w:p w14:paraId="03333455" w14:textId="77777777" w:rsidR="00D77342" w:rsidRDefault="00D77342" w:rsidP="00C90CF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SimSun"/>
          <w:bCs/>
          <w:lang w:val="en-US"/>
        </w:rPr>
      </w:pPr>
    </w:p>
    <w:p w14:paraId="38092057" w14:textId="7A7D27F3" w:rsidR="00C90CF2" w:rsidRPr="000444B1" w:rsidRDefault="00D77342" w:rsidP="000444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lang w:val="en-US"/>
        </w:rPr>
      </w:pPr>
      <w:r>
        <w:rPr>
          <w:lang w:val="en-US"/>
        </w:rPr>
        <w:t xml:space="preserve">By taking frequency band 2160-2200 from table 5.2 in ITU regulations [3],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ref</m:t>
            </m:r>
          </m:sub>
        </m:sSub>
        <m:r>
          <w:rPr>
            <w:rFonts w:ascii="Cambria Math" w:hAnsi="Cambria Math"/>
            <w:lang w:val="en-US"/>
          </w:rPr>
          <m:t xml:space="preserve">=1 MHz, </m:t>
        </m:r>
      </m:oMath>
      <w:r w:rsidR="00C90CF2">
        <w:rPr>
          <w:rFonts w:eastAsia="SimSun"/>
          <w:bCs/>
          <w:lang w:val="en-US"/>
        </w:rPr>
        <w:t>we have the following values for EIRP density a</w:t>
      </w:r>
      <w:r w:rsidR="00A878CB">
        <w:rPr>
          <w:rFonts w:eastAsia="SimSun"/>
          <w:bCs/>
          <w:lang w:val="en-US"/>
        </w:rPr>
        <w:t xml:space="preserve">t </w:t>
      </w:r>
      <w:r w:rsidR="00C90CF2">
        <w:rPr>
          <w:rFonts w:eastAsia="SimSun"/>
          <w:bCs/>
          <w:lang w:val="en-US"/>
        </w:rPr>
        <w:t>different elevation angles:</w:t>
      </w:r>
    </w:p>
    <w:p w14:paraId="0EB7A4F4" w14:textId="7E9C245C"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4</w:t>
      </w:r>
      <w:r>
        <w:fldChar w:fldCharType="end"/>
      </w:r>
      <w:r w:rsidRPr="00CF2354">
        <w:rPr>
          <w:lang w:val="en-US"/>
        </w:rPr>
        <w:t xml:space="preserve"> EIRP density at elevation angle 5 degrees</w:t>
      </w:r>
    </w:p>
    <w:tbl>
      <w:tblPr>
        <w:tblW w:w="9776" w:type="dxa"/>
        <w:jc w:val="center"/>
        <w:tblCellMar>
          <w:left w:w="70" w:type="dxa"/>
          <w:right w:w="70" w:type="dxa"/>
        </w:tblCellMar>
        <w:tblLook w:val="04A0" w:firstRow="1" w:lastRow="0" w:firstColumn="1" w:lastColumn="0" w:noHBand="0" w:noVBand="1"/>
      </w:tblPr>
      <w:tblGrid>
        <w:gridCol w:w="2405"/>
        <w:gridCol w:w="2677"/>
        <w:gridCol w:w="2248"/>
        <w:gridCol w:w="2446"/>
      </w:tblGrid>
      <w:tr w:rsidR="00C742D4" w14:paraId="0CDCDE98" w14:textId="77777777" w:rsidTr="00C742D4">
        <w:trPr>
          <w:trHeight w:val="290"/>
          <w:jc w:val="center"/>
        </w:trPr>
        <w:tc>
          <w:tcPr>
            <w:tcW w:w="977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15A2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5CEB6A35"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10541EE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677" w:type="dxa"/>
            <w:tcBorders>
              <w:top w:val="nil"/>
              <w:left w:val="nil"/>
              <w:bottom w:val="single" w:sz="4" w:space="0" w:color="auto"/>
              <w:right w:val="single" w:sz="4" w:space="0" w:color="auto"/>
            </w:tcBorders>
            <w:shd w:val="clear" w:color="auto" w:fill="auto"/>
            <w:noWrap/>
            <w:vAlign w:val="bottom"/>
            <w:hideMark/>
          </w:tcPr>
          <w:p w14:paraId="06322172"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469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C39B541" w14:textId="6E8B9981" w:rsidR="00C742D4" w:rsidRPr="00D41068" w:rsidRDefault="00CA2754">
            <w:pPr>
              <w:jc w:val="center"/>
              <w:rPr>
                <w:rFonts w:ascii="Calibri" w:hAnsi="Calibri" w:cs="Calibri"/>
                <w:color w:val="000000"/>
                <w:sz w:val="22"/>
                <w:szCs w:val="22"/>
                <w:lang w:val="en-US"/>
              </w:rPr>
            </w:pPr>
            <w:r w:rsidRPr="00D41068">
              <w:rPr>
                <w:rFonts w:ascii="Calibri" w:hAnsi="Calibri" w:cs="Calibri"/>
                <w:color w:val="000000"/>
                <w:sz w:val="22"/>
                <w:szCs w:val="22"/>
                <w:lang w:val="en-US"/>
              </w:rPr>
              <w:t xml:space="preserve">Regulatory limit at </w:t>
            </w:r>
            <w:r>
              <w:rPr>
                <w:rFonts w:ascii="Calibri" w:hAnsi="Calibri" w:cs="Calibri"/>
                <w:color w:val="000000"/>
                <w:sz w:val="22"/>
                <w:szCs w:val="22"/>
                <w:lang w:val="en-US"/>
              </w:rPr>
              <w:t>e</w:t>
            </w:r>
            <w:r w:rsidR="00C742D4" w:rsidRPr="00D41068">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5°</w:t>
            </w:r>
          </w:p>
        </w:tc>
      </w:tr>
      <w:tr w:rsidR="00C742D4" w:rsidRPr="00846B78" w14:paraId="51B5F939"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4E566D29"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677" w:type="dxa"/>
            <w:tcBorders>
              <w:top w:val="nil"/>
              <w:left w:val="nil"/>
              <w:bottom w:val="single" w:sz="4" w:space="0" w:color="auto"/>
              <w:right w:val="single" w:sz="4" w:space="0" w:color="auto"/>
            </w:tcBorders>
            <w:shd w:val="clear" w:color="auto" w:fill="auto"/>
            <w:noWrap/>
            <w:vAlign w:val="bottom"/>
            <w:hideMark/>
          </w:tcPr>
          <w:p w14:paraId="64A6AC0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6922D5EB" w14:textId="386A7F80"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75648" behindDoc="0" locked="0" layoutInCell="1" allowOverlap="1" wp14:anchorId="1E67298A" wp14:editId="466DF314">
                      <wp:simplePos x="0" y="0"/>
                      <wp:positionH relativeFrom="column">
                        <wp:posOffset>196850</wp:posOffset>
                      </wp:positionH>
                      <wp:positionV relativeFrom="paragraph">
                        <wp:posOffset>12700</wp:posOffset>
                      </wp:positionV>
                      <wp:extent cx="1035050" cy="165100"/>
                      <wp:effectExtent l="0" t="0" r="0" b="0"/>
                      <wp:wrapNone/>
                      <wp:docPr id="192368801" name="Textfeld 20">
                        <a:extLst xmlns:a="http://schemas.openxmlformats.org/drawingml/2006/main">
                          <a:ext uri="{FF2B5EF4-FFF2-40B4-BE49-F238E27FC236}">
                            <a16:creationId xmlns:a16="http://schemas.microsoft.com/office/drawing/2014/main" id="{D17C0614-C876-45C0-CEE6-93D201CCE304}"/>
                          </a:ext>
                        </a:extLst>
                      </wp:docPr>
                      <wp:cNvGraphicFramePr/>
                      <a:graphic xmlns:a="http://schemas.openxmlformats.org/drawingml/2006/main">
                        <a:graphicData uri="http://schemas.microsoft.com/office/word/2010/wordprocessingShape">
                          <wps:wsp>
                            <wps:cNvSpPr txBox="1"/>
                            <wps:spPr>
                              <a:xfrm>
                                <a:off x="0" y="0"/>
                                <a:ext cx="1035050" cy="159339"/>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4517AD91"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type w14:anchorId="1E67298A" id="_x0000_t202" coordsize="21600,21600" o:spt="202" path="m,l,21600r21600,l21600,xe">
                      <v:stroke joinstyle="miter"/>
                      <v:path gradientshapeok="t" o:connecttype="rect"/>
                    </v:shapetype>
                    <v:shape id="Textfeld 20" o:spid="_x0000_s1026" type="#_x0000_t202" style="position:absolute;left:0;text-align:left;margin-left:15.5pt;margin-top:1pt;width:81.5pt;height:1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" filled="f" stroked="f">
                      <v:textbox style="mso-fit-shape-to-text:t" inset="0,0,0,0">
                        <w:txbxContent>
                          <w:p w14:paraId="4517AD91"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446" w:type="dxa"/>
            <w:tcBorders>
              <w:top w:val="nil"/>
              <w:left w:val="nil"/>
              <w:bottom w:val="single" w:sz="4" w:space="0" w:color="auto"/>
              <w:right w:val="single" w:sz="4" w:space="0" w:color="auto"/>
            </w:tcBorders>
            <w:shd w:val="clear" w:color="auto" w:fill="auto"/>
            <w:noWrap/>
            <w:vAlign w:val="bottom"/>
            <w:hideMark/>
          </w:tcPr>
          <w:p w14:paraId="787593DA"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202AEC3E"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4D26D04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677" w:type="dxa"/>
            <w:tcBorders>
              <w:top w:val="nil"/>
              <w:left w:val="nil"/>
              <w:bottom w:val="single" w:sz="4" w:space="0" w:color="auto"/>
              <w:right w:val="single" w:sz="4" w:space="0" w:color="auto"/>
            </w:tcBorders>
            <w:shd w:val="clear" w:color="auto" w:fill="auto"/>
            <w:noWrap/>
            <w:vAlign w:val="bottom"/>
            <w:hideMark/>
          </w:tcPr>
          <w:p w14:paraId="6510319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394A6D5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-123</w:t>
            </w:r>
          </w:p>
        </w:tc>
        <w:tc>
          <w:tcPr>
            <w:tcW w:w="2446" w:type="dxa"/>
            <w:tcBorders>
              <w:top w:val="nil"/>
              <w:left w:val="nil"/>
              <w:bottom w:val="single" w:sz="4" w:space="0" w:color="auto"/>
              <w:right w:val="single" w:sz="4" w:space="0" w:color="auto"/>
            </w:tcBorders>
            <w:shd w:val="clear" w:color="auto" w:fill="auto"/>
            <w:noWrap/>
            <w:vAlign w:val="bottom"/>
            <w:hideMark/>
          </w:tcPr>
          <w:p w14:paraId="7752023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15.3318</w:t>
            </w:r>
          </w:p>
        </w:tc>
      </w:tr>
      <w:tr w:rsidR="00C742D4" w14:paraId="416F7A74"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29B5C34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677" w:type="dxa"/>
            <w:tcBorders>
              <w:top w:val="nil"/>
              <w:left w:val="nil"/>
              <w:bottom w:val="single" w:sz="4" w:space="0" w:color="auto"/>
              <w:right w:val="single" w:sz="4" w:space="0" w:color="auto"/>
            </w:tcBorders>
            <w:shd w:val="clear" w:color="auto" w:fill="auto"/>
            <w:noWrap/>
            <w:vAlign w:val="bottom"/>
            <w:hideMark/>
          </w:tcPr>
          <w:p w14:paraId="3D11D3A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6FF0E15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-123</w:t>
            </w:r>
          </w:p>
        </w:tc>
        <w:tc>
          <w:tcPr>
            <w:tcW w:w="2446" w:type="dxa"/>
            <w:tcBorders>
              <w:top w:val="nil"/>
              <w:left w:val="nil"/>
              <w:bottom w:val="single" w:sz="4" w:space="0" w:color="auto"/>
              <w:right w:val="single" w:sz="4" w:space="0" w:color="auto"/>
            </w:tcBorders>
            <w:shd w:val="clear" w:color="auto" w:fill="auto"/>
            <w:noWrap/>
            <w:vAlign w:val="bottom"/>
            <w:hideMark/>
          </w:tcPr>
          <w:p w14:paraId="0700B6BF"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15.3318</w:t>
            </w:r>
          </w:p>
        </w:tc>
      </w:tr>
      <w:tr w:rsidR="00C742D4" w14:paraId="3D079B85"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6CB98F6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677" w:type="dxa"/>
            <w:tcBorders>
              <w:top w:val="nil"/>
              <w:left w:val="nil"/>
              <w:bottom w:val="single" w:sz="4" w:space="0" w:color="auto"/>
              <w:right w:val="single" w:sz="4" w:space="0" w:color="auto"/>
            </w:tcBorders>
            <w:shd w:val="clear" w:color="auto" w:fill="auto"/>
            <w:noWrap/>
            <w:vAlign w:val="bottom"/>
            <w:hideMark/>
          </w:tcPr>
          <w:p w14:paraId="25BF456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35D631F2"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-123</w:t>
            </w:r>
          </w:p>
        </w:tc>
        <w:tc>
          <w:tcPr>
            <w:tcW w:w="2446" w:type="dxa"/>
            <w:tcBorders>
              <w:top w:val="nil"/>
              <w:left w:val="nil"/>
              <w:bottom w:val="single" w:sz="4" w:space="0" w:color="auto"/>
              <w:right w:val="single" w:sz="4" w:space="0" w:color="auto"/>
            </w:tcBorders>
            <w:shd w:val="clear" w:color="auto" w:fill="auto"/>
            <w:noWrap/>
            <w:vAlign w:val="bottom"/>
            <w:hideMark/>
          </w:tcPr>
          <w:p w14:paraId="7546ED3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19.0528</w:t>
            </w:r>
          </w:p>
        </w:tc>
      </w:tr>
      <w:tr w:rsidR="00C742D4" w14:paraId="6512416E" w14:textId="77777777" w:rsidTr="00C742D4">
        <w:trPr>
          <w:trHeight w:val="29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67E601E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677" w:type="dxa"/>
            <w:tcBorders>
              <w:top w:val="nil"/>
              <w:left w:val="nil"/>
              <w:bottom w:val="single" w:sz="4" w:space="0" w:color="auto"/>
              <w:right w:val="single" w:sz="4" w:space="0" w:color="auto"/>
            </w:tcBorders>
            <w:shd w:val="clear" w:color="auto" w:fill="auto"/>
            <w:noWrap/>
            <w:vAlign w:val="bottom"/>
            <w:hideMark/>
          </w:tcPr>
          <w:p w14:paraId="7DE2CFE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014FCA5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-123</w:t>
            </w:r>
          </w:p>
        </w:tc>
        <w:tc>
          <w:tcPr>
            <w:tcW w:w="2446" w:type="dxa"/>
            <w:tcBorders>
              <w:top w:val="nil"/>
              <w:left w:val="nil"/>
              <w:bottom w:val="single" w:sz="4" w:space="0" w:color="auto"/>
              <w:right w:val="single" w:sz="4" w:space="0" w:color="auto"/>
            </w:tcBorders>
            <w:shd w:val="clear" w:color="auto" w:fill="auto"/>
            <w:noWrap/>
            <w:vAlign w:val="bottom"/>
            <w:hideMark/>
          </w:tcPr>
          <w:p w14:paraId="6D11F5D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19.0528</w:t>
            </w:r>
          </w:p>
        </w:tc>
      </w:tr>
    </w:tbl>
    <w:p w14:paraId="78A84F72" w14:textId="77777777" w:rsidR="001B1F0E" w:rsidRDefault="001B1F0E" w:rsidP="001B1F0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center"/>
        <w:rPr>
          <w:rFonts w:eastAsia="SimSun"/>
          <w:bCs/>
          <w:lang w:val="en-US"/>
        </w:rPr>
      </w:pPr>
    </w:p>
    <w:p w14:paraId="0C0E498A" w14:textId="25E016A0"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5</w:t>
      </w:r>
      <w:r>
        <w:fldChar w:fldCharType="end"/>
      </w:r>
      <w:r w:rsidRPr="00CF2354">
        <w:rPr>
          <w:lang w:val="en-US"/>
        </w:rPr>
        <w:t xml:space="preserve"> EIRP density at elevation angle 10 degrees</w:t>
      </w:r>
    </w:p>
    <w:tbl>
      <w:tblPr>
        <w:tblW w:w="9781" w:type="dxa"/>
        <w:jc w:val="center"/>
        <w:tblCellMar>
          <w:left w:w="70" w:type="dxa"/>
          <w:right w:w="70" w:type="dxa"/>
        </w:tblCellMar>
        <w:tblLook w:val="04A0" w:firstRow="1" w:lastRow="0" w:firstColumn="1" w:lastColumn="0" w:noHBand="0" w:noVBand="1"/>
      </w:tblPr>
      <w:tblGrid>
        <w:gridCol w:w="2552"/>
        <w:gridCol w:w="2535"/>
        <w:gridCol w:w="2248"/>
        <w:gridCol w:w="2446"/>
      </w:tblGrid>
      <w:tr w:rsidR="00C742D4" w14:paraId="77038C6E" w14:textId="77777777" w:rsidTr="00C742D4">
        <w:trPr>
          <w:trHeight w:val="290"/>
          <w:jc w:val="center"/>
        </w:trPr>
        <w:tc>
          <w:tcPr>
            <w:tcW w:w="9781"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A614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13A647EE"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5E2F406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535" w:type="dxa"/>
            <w:tcBorders>
              <w:top w:val="nil"/>
              <w:left w:val="nil"/>
              <w:bottom w:val="single" w:sz="4" w:space="0" w:color="auto"/>
              <w:right w:val="single" w:sz="4" w:space="0" w:color="auto"/>
            </w:tcBorders>
            <w:shd w:val="clear" w:color="auto" w:fill="auto"/>
            <w:noWrap/>
            <w:vAlign w:val="bottom"/>
            <w:hideMark/>
          </w:tcPr>
          <w:p w14:paraId="55C6DE1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469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9426840" w14:textId="0E44A208" w:rsidR="00C742D4" w:rsidRPr="00D41068" w:rsidRDefault="00CA2754">
            <w:pPr>
              <w:jc w:val="center"/>
              <w:rPr>
                <w:rFonts w:ascii="Calibri" w:hAnsi="Calibri" w:cs="Calibri"/>
                <w:color w:val="000000"/>
                <w:sz w:val="22"/>
                <w:szCs w:val="22"/>
                <w:lang w:val="en-US"/>
              </w:rPr>
            </w:pPr>
            <w:r w:rsidRPr="00533D67">
              <w:rPr>
                <w:rFonts w:ascii="Calibri" w:hAnsi="Calibri" w:cs="Calibri"/>
                <w:color w:val="000000"/>
                <w:sz w:val="22"/>
                <w:szCs w:val="22"/>
                <w:lang w:val="en-US"/>
              </w:rPr>
              <w:t xml:space="preserve">Regulatory limit at </w:t>
            </w:r>
            <w:r>
              <w:rPr>
                <w:rFonts w:ascii="Calibri" w:hAnsi="Calibri" w:cs="Calibri"/>
                <w:color w:val="000000"/>
                <w:sz w:val="22"/>
                <w:szCs w:val="22"/>
                <w:lang w:val="en-US"/>
              </w:rPr>
              <w:t>e</w:t>
            </w:r>
            <w:r w:rsidR="00C742D4" w:rsidRPr="00D41068">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10°</w:t>
            </w:r>
          </w:p>
        </w:tc>
      </w:tr>
      <w:tr w:rsidR="00C742D4" w:rsidRPr="00846B78" w14:paraId="322BDCAA"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6D221F6B"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535" w:type="dxa"/>
            <w:tcBorders>
              <w:top w:val="nil"/>
              <w:left w:val="nil"/>
              <w:bottom w:val="single" w:sz="4" w:space="0" w:color="auto"/>
              <w:right w:val="single" w:sz="4" w:space="0" w:color="auto"/>
            </w:tcBorders>
            <w:shd w:val="clear" w:color="auto" w:fill="auto"/>
            <w:noWrap/>
            <w:vAlign w:val="bottom"/>
            <w:hideMark/>
          </w:tcPr>
          <w:p w14:paraId="511C414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44015946" w14:textId="4407C1FC"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77696" behindDoc="0" locked="0" layoutInCell="1" allowOverlap="1" wp14:anchorId="6B0137E6" wp14:editId="5EECCC95">
                      <wp:simplePos x="0" y="0"/>
                      <wp:positionH relativeFrom="column">
                        <wp:posOffset>107315</wp:posOffset>
                      </wp:positionH>
                      <wp:positionV relativeFrom="paragraph">
                        <wp:posOffset>-45720</wp:posOffset>
                      </wp:positionV>
                      <wp:extent cx="1035050" cy="165100"/>
                      <wp:effectExtent l="0" t="0" r="0" b="0"/>
                      <wp:wrapNone/>
                      <wp:docPr id="34" name="Textfeld 21">
                        <a:extLst xmlns:a="http://schemas.openxmlformats.org/drawingml/2006/main">
                          <a:ext uri="{FF2B5EF4-FFF2-40B4-BE49-F238E27FC236}">
                            <a16:creationId xmlns:a16="http://schemas.microsoft.com/office/drawing/2014/main" id="{3C07D220-43B0-423F-AE8D-2D8322E075E2}"/>
                          </a:ext>
                        </a:extLst>
                      </wp:docPr>
                      <wp:cNvGraphicFramePr/>
                      <a:graphic xmlns:a="http://schemas.openxmlformats.org/drawingml/2006/main">
                        <a:graphicData uri="http://schemas.microsoft.com/office/word/2010/wordprocessingShape">
                          <wps:wsp>
                            <wps:cNvSpPr txBox="1"/>
                            <wps:spPr>
                              <a:xfrm>
                                <a:off x="0" y="0"/>
                                <a:ext cx="1035050" cy="1651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93C9408"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6B0137E6" id="Textfeld 21" o:spid="_x0000_s1027" type="#_x0000_t202" style="position:absolute;left:0;text-align:left;margin-left:8.45pt;margin-top:-3.6pt;width:81.5pt;height: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" filled="f" stroked="f">
                      <v:textbox style="mso-fit-shape-to-text:t" inset="0,0,0,0">
                        <w:txbxContent>
                          <w:p w14:paraId="193C9408"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446" w:type="dxa"/>
            <w:tcBorders>
              <w:top w:val="nil"/>
              <w:left w:val="nil"/>
              <w:bottom w:val="single" w:sz="4" w:space="0" w:color="auto"/>
              <w:right w:val="single" w:sz="4" w:space="0" w:color="auto"/>
            </w:tcBorders>
            <w:shd w:val="clear" w:color="auto" w:fill="auto"/>
            <w:noWrap/>
            <w:vAlign w:val="bottom"/>
            <w:hideMark/>
          </w:tcPr>
          <w:p w14:paraId="02CA9E69"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1BF43CA9"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57BD3A4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535" w:type="dxa"/>
            <w:tcBorders>
              <w:top w:val="nil"/>
              <w:left w:val="nil"/>
              <w:bottom w:val="single" w:sz="4" w:space="0" w:color="auto"/>
              <w:right w:val="single" w:sz="4" w:space="0" w:color="auto"/>
            </w:tcBorders>
            <w:shd w:val="clear" w:color="auto" w:fill="auto"/>
            <w:noWrap/>
            <w:vAlign w:val="bottom"/>
            <w:hideMark/>
          </w:tcPr>
          <w:p w14:paraId="1171A27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4F718B1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-120.5</w:t>
            </w:r>
          </w:p>
        </w:tc>
        <w:tc>
          <w:tcPr>
            <w:tcW w:w="2446" w:type="dxa"/>
            <w:tcBorders>
              <w:top w:val="nil"/>
              <w:left w:val="nil"/>
              <w:bottom w:val="single" w:sz="4" w:space="0" w:color="auto"/>
              <w:right w:val="single" w:sz="4" w:space="0" w:color="auto"/>
            </w:tcBorders>
            <w:shd w:val="clear" w:color="auto" w:fill="auto"/>
            <w:noWrap/>
            <w:vAlign w:val="bottom"/>
            <w:hideMark/>
          </w:tcPr>
          <w:p w14:paraId="51F0BFA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16.2122</w:t>
            </w:r>
          </w:p>
        </w:tc>
      </w:tr>
      <w:tr w:rsidR="00C742D4" w14:paraId="280E1890"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03C7E99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535" w:type="dxa"/>
            <w:tcBorders>
              <w:top w:val="nil"/>
              <w:left w:val="nil"/>
              <w:bottom w:val="single" w:sz="4" w:space="0" w:color="auto"/>
              <w:right w:val="single" w:sz="4" w:space="0" w:color="auto"/>
            </w:tcBorders>
            <w:shd w:val="clear" w:color="auto" w:fill="auto"/>
            <w:noWrap/>
            <w:vAlign w:val="bottom"/>
            <w:hideMark/>
          </w:tcPr>
          <w:p w14:paraId="27587F8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092015D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-120.5</w:t>
            </w:r>
          </w:p>
        </w:tc>
        <w:tc>
          <w:tcPr>
            <w:tcW w:w="2446" w:type="dxa"/>
            <w:tcBorders>
              <w:top w:val="nil"/>
              <w:left w:val="nil"/>
              <w:bottom w:val="single" w:sz="4" w:space="0" w:color="auto"/>
              <w:right w:val="single" w:sz="4" w:space="0" w:color="auto"/>
            </w:tcBorders>
            <w:shd w:val="clear" w:color="auto" w:fill="auto"/>
            <w:noWrap/>
            <w:vAlign w:val="bottom"/>
            <w:hideMark/>
          </w:tcPr>
          <w:p w14:paraId="2EF27F6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16.2122</w:t>
            </w:r>
          </w:p>
        </w:tc>
      </w:tr>
      <w:tr w:rsidR="00C742D4" w14:paraId="7AE0B79C"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3FD1221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535" w:type="dxa"/>
            <w:tcBorders>
              <w:top w:val="nil"/>
              <w:left w:val="nil"/>
              <w:bottom w:val="single" w:sz="4" w:space="0" w:color="auto"/>
              <w:right w:val="single" w:sz="4" w:space="0" w:color="auto"/>
            </w:tcBorders>
            <w:shd w:val="clear" w:color="auto" w:fill="auto"/>
            <w:noWrap/>
            <w:vAlign w:val="bottom"/>
            <w:hideMark/>
          </w:tcPr>
          <w:p w14:paraId="55163ED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5174F66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-120.5</w:t>
            </w:r>
          </w:p>
        </w:tc>
        <w:tc>
          <w:tcPr>
            <w:tcW w:w="2446" w:type="dxa"/>
            <w:tcBorders>
              <w:top w:val="nil"/>
              <w:left w:val="nil"/>
              <w:bottom w:val="single" w:sz="4" w:space="0" w:color="auto"/>
              <w:right w:val="single" w:sz="4" w:space="0" w:color="auto"/>
            </w:tcBorders>
            <w:shd w:val="clear" w:color="auto" w:fill="auto"/>
            <w:noWrap/>
            <w:vAlign w:val="bottom"/>
            <w:hideMark/>
          </w:tcPr>
          <w:p w14:paraId="0F1D876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20.4058</w:t>
            </w:r>
          </w:p>
        </w:tc>
      </w:tr>
      <w:tr w:rsidR="00C742D4" w14:paraId="6574FC0B" w14:textId="77777777" w:rsidTr="00C742D4">
        <w:trPr>
          <w:trHeight w:val="290"/>
          <w:jc w:val="center"/>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14:paraId="19F0CE2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535" w:type="dxa"/>
            <w:tcBorders>
              <w:top w:val="nil"/>
              <w:left w:val="nil"/>
              <w:bottom w:val="single" w:sz="4" w:space="0" w:color="auto"/>
              <w:right w:val="single" w:sz="4" w:space="0" w:color="auto"/>
            </w:tcBorders>
            <w:shd w:val="clear" w:color="auto" w:fill="auto"/>
            <w:noWrap/>
            <w:vAlign w:val="bottom"/>
            <w:hideMark/>
          </w:tcPr>
          <w:p w14:paraId="4621E9B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1E0FDDC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-120.5</w:t>
            </w:r>
          </w:p>
        </w:tc>
        <w:tc>
          <w:tcPr>
            <w:tcW w:w="2446" w:type="dxa"/>
            <w:tcBorders>
              <w:top w:val="nil"/>
              <w:left w:val="nil"/>
              <w:bottom w:val="single" w:sz="4" w:space="0" w:color="auto"/>
              <w:right w:val="single" w:sz="4" w:space="0" w:color="auto"/>
            </w:tcBorders>
            <w:shd w:val="clear" w:color="auto" w:fill="auto"/>
            <w:noWrap/>
            <w:vAlign w:val="bottom"/>
            <w:hideMark/>
          </w:tcPr>
          <w:p w14:paraId="61BB31D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20.4058</w:t>
            </w:r>
          </w:p>
        </w:tc>
      </w:tr>
    </w:tbl>
    <w:p w14:paraId="649B6E07" w14:textId="77777777" w:rsidR="001B1F0E" w:rsidRDefault="001B1F0E" w:rsidP="00AD3E4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rPr>
          <w:rFonts w:eastAsia="SimSun"/>
          <w:bCs/>
          <w:lang w:val="en-US"/>
        </w:rPr>
      </w:pPr>
    </w:p>
    <w:p w14:paraId="5EEF83B9" w14:textId="6F36E8ED" w:rsidR="00CF2354" w:rsidRPr="00CF2354" w:rsidRDefault="00CF2354" w:rsidP="00CF2354">
      <w:pPr>
        <w:pStyle w:val="Beschriftung"/>
        <w:keepNext/>
        <w:jc w:val="center"/>
        <w:rPr>
          <w:lang w:val="en-US"/>
        </w:rPr>
      </w:pPr>
      <w:r w:rsidRPr="00CF2354">
        <w:rPr>
          <w:lang w:val="en-US"/>
        </w:rPr>
        <w:lastRenderedPageBreak/>
        <w:t xml:space="preserve">Table </w:t>
      </w:r>
      <w:r>
        <w:fldChar w:fldCharType="begin"/>
      </w:r>
      <w:r w:rsidRPr="00CF2354">
        <w:rPr>
          <w:lang w:val="en-US"/>
        </w:rPr>
        <w:instrText xml:space="preserve"> SEQ Table \* ARABIC </w:instrText>
      </w:r>
      <w:r>
        <w:fldChar w:fldCharType="separate"/>
      </w:r>
      <w:r>
        <w:rPr>
          <w:noProof/>
          <w:lang w:val="en-US"/>
        </w:rPr>
        <w:t>6</w:t>
      </w:r>
      <w:r>
        <w:fldChar w:fldCharType="end"/>
      </w:r>
      <w:r w:rsidRPr="00CF2354">
        <w:rPr>
          <w:lang w:val="en-US"/>
        </w:rPr>
        <w:t xml:space="preserve"> EIRP density at elevation angle 25 degrees</w:t>
      </w:r>
    </w:p>
    <w:tbl>
      <w:tblPr>
        <w:tblW w:w="9918" w:type="dxa"/>
        <w:jc w:val="center"/>
        <w:tblCellMar>
          <w:left w:w="70" w:type="dxa"/>
          <w:right w:w="70" w:type="dxa"/>
        </w:tblCellMar>
        <w:tblLook w:val="04A0" w:firstRow="1" w:lastRow="0" w:firstColumn="1" w:lastColumn="0" w:noHBand="0" w:noVBand="1"/>
      </w:tblPr>
      <w:tblGrid>
        <w:gridCol w:w="2263"/>
        <w:gridCol w:w="2819"/>
        <w:gridCol w:w="2248"/>
        <w:gridCol w:w="2588"/>
      </w:tblGrid>
      <w:tr w:rsidR="00C742D4" w14:paraId="6C7F32C5" w14:textId="77777777" w:rsidTr="00C742D4">
        <w:trPr>
          <w:trHeight w:val="290"/>
          <w:jc w:val="center"/>
        </w:trPr>
        <w:tc>
          <w:tcPr>
            <w:tcW w:w="991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FF341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107B75D1"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6CBA18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819" w:type="dxa"/>
            <w:tcBorders>
              <w:top w:val="nil"/>
              <w:left w:val="nil"/>
              <w:bottom w:val="single" w:sz="4" w:space="0" w:color="auto"/>
              <w:right w:val="single" w:sz="4" w:space="0" w:color="auto"/>
            </w:tcBorders>
            <w:shd w:val="clear" w:color="auto" w:fill="auto"/>
            <w:noWrap/>
            <w:vAlign w:val="bottom"/>
            <w:hideMark/>
          </w:tcPr>
          <w:p w14:paraId="2D00C2E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483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1414833" w14:textId="44A623CD" w:rsidR="00C742D4" w:rsidRPr="00D41068" w:rsidRDefault="00CA2754">
            <w:pPr>
              <w:jc w:val="center"/>
              <w:rPr>
                <w:rFonts w:ascii="Calibri" w:hAnsi="Calibri" w:cs="Calibri"/>
                <w:color w:val="000000"/>
                <w:sz w:val="22"/>
                <w:szCs w:val="22"/>
                <w:lang w:val="en-US"/>
              </w:rPr>
            </w:pPr>
            <w:r w:rsidRPr="00533D67">
              <w:rPr>
                <w:rFonts w:ascii="Calibri" w:hAnsi="Calibri" w:cs="Calibri"/>
                <w:color w:val="000000"/>
                <w:sz w:val="22"/>
                <w:szCs w:val="22"/>
                <w:lang w:val="en-US"/>
              </w:rPr>
              <w:t xml:space="preserve">Regulatory limit at </w:t>
            </w:r>
            <w:r>
              <w:rPr>
                <w:rFonts w:ascii="Calibri" w:hAnsi="Calibri" w:cs="Calibri"/>
                <w:color w:val="000000"/>
                <w:sz w:val="22"/>
                <w:szCs w:val="22"/>
                <w:lang w:val="en-US"/>
              </w:rPr>
              <w:t>e</w:t>
            </w:r>
            <w:r w:rsidR="00C742D4" w:rsidRPr="00BA36E7">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25°</w:t>
            </w:r>
          </w:p>
        </w:tc>
      </w:tr>
      <w:tr w:rsidR="00C742D4" w:rsidRPr="00846B78" w14:paraId="0B53108C"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B63899F"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819" w:type="dxa"/>
            <w:tcBorders>
              <w:top w:val="nil"/>
              <w:left w:val="nil"/>
              <w:bottom w:val="single" w:sz="4" w:space="0" w:color="auto"/>
              <w:right w:val="single" w:sz="4" w:space="0" w:color="auto"/>
            </w:tcBorders>
            <w:shd w:val="clear" w:color="auto" w:fill="auto"/>
            <w:noWrap/>
            <w:vAlign w:val="bottom"/>
            <w:hideMark/>
          </w:tcPr>
          <w:p w14:paraId="64A3898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70DFE81E" w14:textId="244B0A9C"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79744" behindDoc="0" locked="0" layoutInCell="1" allowOverlap="1" wp14:anchorId="70DC7A98" wp14:editId="09235673">
                      <wp:simplePos x="0" y="0"/>
                      <wp:positionH relativeFrom="column">
                        <wp:posOffset>149225</wp:posOffset>
                      </wp:positionH>
                      <wp:positionV relativeFrom="paragraph">
                        <wp:posOffset>-159385</wp:posOffset>
                      </wp:positionV>
                      <wp:extent cx="1035050" cy="165100"/>
                      <wp:effectExtent l="0" t="0" r="0" b="0"/>
                      <wp:wrapNone/>
                      <wp:docPr id="270140507" name="Textfeld 23">
                        <a:extLst xmlns:a="http://schemas.openxmlformats.org/drawingml/2006/main">
                          <a:ext uri="{FF2B5EF4-FFF2-40B4-BE49-F238E27FC236}">
                            <a16:creationId xmlns:a16="http://schemas.microsoft.com/office/drawing/2014/main" id="{3EAE9ED3-10D8-42BC-91B3-31AC9A761F0B}"/>
                          </a:ext>
                        </a:extLst>
                      </wp:docPr>
                      <wp:cNvGraphicFramePr/>
                      <a:graphic xmlns:a="http://schemas.openxmlformats.org/drawingml/2006/main">
                        <a:graphicData uri="http://schemas.microsoft.com/office/word/2010/wordprocessingShape">
                          <wps:wsp>
                            <wps:cNvSpPr txBox="1"/>
                            <wps:spPr>
                              <a:xfrm>
                                <a:off x="0" y="0"/>
                                <a:ext cx="1035050" cy="1651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7C69041C"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70DC7A98" id="Textfeld 23" o:spid="_x0000_s1028" type="#_x0000_t202" style="position:absolute;left:0;text-align:left;margin-left:11.75pt;margin-top:-12.55pt;width:81.5pt;height: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" filled="f" stroked="f">
                      <v:textbox style="mso-fit-shape-to-text:t" inset="0,0,0,0">
                        <w:txbxContent>
                          <w:p w14:paraId="7C69041C"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588" w:type="dxa"/>
            <w:tcBorders>
              <w:top w:val="nil"/>
              <w:left w:val="nil"/>
              <w:bottom w:val="single" w:sz="4" w:space="0" w:color="auto"/>
              <w:right w:val="single" w:sz="4" w:space="0" w:color="auto"/>
            </w:tcBorders>
            <w:shd w:val="clear" w:color="auto" w:fill="auto"/>
            <w:noWrap/>
            <w:vAlign w:val="bottom"/>
            <w:hideMark/>
          </w:tcPr>
          <w:p w14:paraId="58D8AC33"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092C226A"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CAE938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819" w:type="dxa"/>
            <w:tcBorders>
              <w:top w:val="nil"/>
              <w:left w:val="nil"/>
              <w:bottom w:val="single" w:sz="4" w:space="0" w:color="auto"/>
              <w:right w:val="single" w:sz="4" w:space="0" w:color="auto"/>
            </w:tcBorders>
            <w:shd w:val="clear" w:color="auto" w:fill="auto"/>
            <w:noWrap/>
            <w:vAlign w:val="bottom"/>
            <w:hideMark/>
          </w:tcPr>
          <w:p w14:paraId="205EF65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761C4B7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8" w:type="dxa"/>
            <w:tcBorders>
              <w:top w:val="nil"/>
              <w:left w:val="nil"/>
              <w:bottom w:val="single" w:sz="4" w:space="0" w:color="auto"/>
              <w:right w:val="single" w:sz="4" w:space="0" w:color="auto"/>
            </w:tcBorders>
            <w:shd w:val="clear" w:color="auto" w:fill="auto"/>
            <w:noWrap/>
            <w:vAlign w:val="bottom"/>
            <w:hideMark/>
          </w:tcPr>
          <w:p w14:paraId="36878CA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19.6693</w:t>
            </w:r>
          </w:p>
        </w:tc>
      </w:tr>
      <w:tr w:rsidR="00C742D4" w14:paraId="292ECC02"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D30E90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819" w:type="dxa"/>
            <w:tcBorders>
              <w:top w:val="nil"/>
              <w:left w:val="nil"/>
              <w:bottom w:val="single" w:sz="4" w:space="0" w:color="auto"/>
              <w:right w:val="single" w:sz="4" w:space="0" w:color="auto"/>
            </w:tcBorders>
            <w:shd w:val="clear" w:color="auto" w:fill="auto"/>
            <w:noWrap/>
            <w:vAlign w:val="bottom"/>
            <w:hideMark/>
          </w:tcPr>
          <w:p w14:paraId="5868143F"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2BDD8DF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8" w:type="dxa"/>
            <w:tcBorders>
              <w:top w:val="nil"/>
              <w:left w:val="nil"/>
              <w:bottom w:val="single" w:sz="4" w:space="0" w:color="auto"/>
              <w:right w:val="single" w:sz="4" w:space="0" w:color="auto"/>
            </w:tcBorders>
            <w:shd w:val="clear" w:color="auto" w:fill="auto"/>
            <w:noWrap/>
            <w:vAlign w:val="bottom"/>
            <w:hideMark/>
          </w:tcPr>
          <w:p w14:paraId="6D9C888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19.6693</w:t>
            </w:r>
          </w:p>
        </w:tc>
      </w:tr>
      <w:tr w:rsidR="00C742D4" w14:paraId="149ED71A"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355334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819" w:type="dxa"/>
            <w:tcBorders>
              <w:top w:val="nil"/>
              <w:left w:val="nil"/>
              <w:bottom w:val="single" w:sz="4" w:space="0" w:color="auto"/>
              <w:right w:val="single" w:sz="4" w:space="0" w:color="auto"/>
            </w:tcBorders>
            <w:shd w:val="clear" w:color="auto" w:fill="auto"/>
            <w:noWrap/>
            <w:vAlign w:val="bottom"/>
            <w:hideMark/>
          </w:tcPr>
          <w:p w14:paraId="769D20B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04FD7C0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8" w:type="dxa"/>
            <w:tcBorders>
              <w:top w:val="nil"/>
              <w:left w:val="nil"/>
              <w:bottom w:val="single" w:sz="4" w:space="0" w:color="auto"/>
              <w:right w:val="single" w:sz="4" w:space="0" w:color="auto"/>
            </w:tcBorders>
            <w:shd w:val="clear" w:color="auto" w:fill="auto"/>
            <w:noWrap/>
            <w:vAlign w:val="bottom"/>
            <w:hideMark/>
          </w:tcPr>
          <w:p w14:paraId="0B8BFE1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24.8563</w:t>
            </w:r>
          </w:p>
        </w:tc>
      </w:tr>
      <w:tr w:rsidR="00C742D4" w14:paraId="06FC6BEA"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CAEBCC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819" w:type="dxa"/>
            <w:tcBorders>
              <w:top w:val="nil"/>
              <w:left w:val="nil"/>
              <w:bottom w:val="single" w:sz="4" w:space="0" w:color="auto"/>
              <w:right w:val="single" w:sz="4" w:space="0" w:color="auto"/>
            </w:tcBorders>
            <w:shd w:val="clear" w:color="auto" w:fill="auto"/>
            <w:noWrap/>
            <w:vAlign w:val="bottom"/>
            <w:hideMark/>
          </w:tcPr>
          <w:p w14:paraId="468C672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135DDC4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8" w:type="dxa"/>
            <w:tcBorders>
              <w:top w:val="nil"/>
              <w:left w:val="nil"/>
              <w:bottom w:val="single" w:sz="4" w:space="0" w:color="auto"/>
              <w:right w:val="single" w:sz="4" w:space="0" w:color="auto"/>
            </w:tcBorders>
            <w:shd w:val="clear" w:color="auto" w:fill="auto"/>
            <w:noWrap/>
            <w:vAlign w:val="bottom"/>
            <w:hideMark/>
          </w:tcPr>
          <w:p w14:paraId="12D8172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24.8563</w:t>
            </w:r>
          </w:p>
        </w:tc>
      </w:tr>
    </w:tbl>
    <w:p w14:paraId="53FADA30" w14:textId="732B04DC" w:rsidR="001B1F0E" w:rsidRDefault="001B1F0E" w:rsidP="000444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rPr>
          <w:rFonts w:eastAsia="SimSun"/>
          <w:bCs/>
          <w:lang w:val="en-US"/>
        </w:rPr>
      </w:pPr>
    </w:p>
    <w:p w14:paraId="63F91E09" w14:textId="2D9D7367"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7</w:t>
      </w:r>
      <w:r>
        <w:fldChar w:fldCharType="end"/>
      </w:r>
      <w:r w:rsidRPr="00CF2354">
        <w:rPr>
          <w:lang w:val="en-US"/>
        </w:rPr>
        <w:t xml:space="preserve"> EIRP density at elevation angle 30 degrees</w:t>
      </w:r>
    </w:p>
    <w:tbl>
      <w:tblPr>
        <w:tblW w:w="10343" w:type="dxa"/>
        <w:jc w:val="center"/>
        <w:tblCellMar>
          <w:left w:w="70" w:type="dxa"/>
          <w:right w:w="70" w:type="dxa"/>
        </w:tblCellMar>
        <w:tblLook w:val="04A0" w:firstRow="1" w:lastRow="0" w:firstColumn="1" w:lastColumn="0" w:noHBand="0" w:noVBand="1"/>
      </w:tblPr>
      <w:tblGrid>
        <w:gridCol w:w="2547"/>
        <w:gridCol w:w="2818"/>
        <w:gridCol w:w="2248"/>
        <w:gridCol w:w="2730"/>
      </w:tblGrid>
      <w:tr w:rsidR="00C742D4" w14:paraId="6BB83AAD" w14:textId="77777777" w:rsidTr="00C742D4">
        <w:trPr>
          <w:trHeight w:val="290"/>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E0E52"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2A56E94F"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5AFE55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818" w:type="dxa"/>
            <w:tcBorders>
              <w:top w:val="nil"/>
              <w:left w:val="nil"/>
              <w:bottom w:val="single" w:sz="4" w:space="0" w:color="auto"/>
              <w:right w:val="single" w:sz="4" w:space="0" w:color="auto"/>
            </w:tcBorders>
            <w:shd w:val="clear" w:color="auto" w:fill="auto"/>
            <w:noWrap/>
            <w:vAlign w:val="bottom"/>
            <w:hideMark/>
          </w:tcPr>
          <w:p w14:paraId="17FE73C2"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497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AB8696" w14:textId="34B85873" w:rsidR="00C742D4" w:rsidRPr="00D41068" w:rsidRDefault="00CA2754">
            <w:pPr>
              <w:jc w:val="center"/>
              <w:rPr>
                <w:rFonts w:ascii="Calibri" w:hAnsi="Calibri" w:cs="Calibri"/>
                <w:color w:val="000000"/>
                <w:sz w:val="22"/>
                <w:szCs w:val="22"/>
                <w:lang w:val="en-US"/>
              </w:rPr>
            </w:pPr>
            <w:r w:rsidRPr="00533D67">
              <w:rPr>
                <w:rFonts w:ascii="Calibri" w:hAnsi="Calibri" w:cs="Calibri"/>
                <w:color w:val="000000"/>
                <w:sz w:val="22"/>
                <w:szCs w:val="22"/>
                <w:lang w:val="en-US"/>
              </w:rPr>
              <w:t xml:space="preserve">Regulatory limit at </w:t>
            </w:r>
            <w:r>
              <w:rPr>
                <w:rFonts w:ascii="Calibri" w:hAnsi="Calibri" w:cs="Calibri"/>
                <w:color w:val="000000"/>
                <w:sz w:val="22"/>
                <w:szCs w:val="22"/>
                <w:lang w:val="en-US"/>
              </w:rPr>
              <w:t>e</w:t>
            </w:r>
            <w:r w:rsidR="00C742D4" w:rsidRPr="00BA36E7">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30°</w:t>
            </w:r>
          </w:p>
        </w:tc>
      </w:tr>
      <w:tr w:rsidR="00C742D4" w:rsidRPr="00846B78" w14:paraId="2AFA3EF2"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34133BE"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818" w:type="dxa"/>
            <w:tcBorders>
              <w:top w:val="nil"/>
              <w:left w:val="nil"/>
              <w:bottom w:val="single" w:sz="4" w:space="0" w:color="auto"/>
              <w:right w:val="single" w:sz="4" w:space="0" w:color="auto"/>
            </w:tcBorders>
            <w:shd w:val="clear" w:color="auto" w:fill="auto"/>
            <w:noWrap/>
            <w:vAlign w:val="bottom"/>
            <w:hideMark/>
          </w:tcPr>
          <w:p w14:paraId="576AFB2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3E310B89" w14:textId="4D6DA59B"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81792" behindDoc="0" locked="0" layoutInCell="1" allowOverlap="1" wp14:anchorId="61788E4F" wp14:editId="27D5D423">
                      <wp:simplePos x="0" y="0"/>
                      <wp:positionH relativeFrom="column">
                        <wp:posOffset>167005</wp:posOffset>
                      </wp:positionH>
                      <wp:positionV relativeFrom="paragraph">
                        <wp:posOffset>-38735</wp:posOffset>
                      </wp:positionV>
                      <wp:extent cx="1035050" cy="165100"/>
                      <wp:effectExtent l="0" t="0" r="0" b="0"/>
                      <wp:wrapNone/>
                      <wp:docPr id="1372781833" name="Textfeld 35">
                        <a:extLst xmlns:a="http://schemas.openxmlformats.org/drawingml/2006/main">
                          <a:ext uri="{FF2B5EF4-FFF2-40B4-BE49-F238E27FC236}">
                            <a16:creationId xmlns:a16="http://schemas.microsoft.com/office/drawing/2014/main" id="{6CB54996-ED50-4CEA-ACB3-259F33A36A36}"/>
                          </a:ext>
                        </a:extLst>
                      </wp:docPr>
                      <wp:cNvGraphicFramePr/>
                      <a:graphic xmlns:a="http://schemas.openxmlformats.org/drawingml/2006/main">
                        <a:graphicData uri="http://schemas.microsoft.com/office/word/2010/wordprocessingShape">
                          <wps:wsp>
                            <wps:cNvSpPr txBox="1"/>
                            <wps:spPr>
                              <a:xfrm>
                                <a:off x="0" y="0"/>
                                <a:ext cx="1035050" cy="1651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465D95F3"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61788E4F" id="Textfeld 35" o:spid="_x0000_s1029" type="#_x0000_t202" style="position:absolute;left:0;text-align:left;margin-left:13.15pt;margin-top:-3.05pt;width:81.5pt;height:1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" filled="f" stroked="f">
                      <v:textbox style="mso-fit-shape-to-text:t" inset="0,0,0,0">
                        <w:txbxContent>
                          <w:p w14:paraId="465D95F3"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730" w:type="dxa"/>
            <w:tcBorders>
              <w:top w:val="nil"/>
              <w:left w:val="nil"/>
              <w:bottom w:val="single" w:sz="4" w:space="0" w:color="auto"/>
              <w:right w:val="single" w:sz="4" w:space="0" w:color="auto"/>
            </w:tcBorders>
            <w:shd w:val="clear" w:color="auto" w:fill="auto"/>
            <w:noWrap/>
            <w:vAlign w:val="bottom"/>
            <w:hideMark/>
          </w:tcPr>
          <w:p w14:paraId="7A946BD8"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5203CEA6"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5D4D9EF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818" w:type="dxa"/>
            <w:tcBorders>
              <w:top w:val="nil"/>
              <w:left w:val="nil"/>
              <w:bottom w:val="single" w:sz="4" w:space="0" w:color="auto"/>
              <w:right w:val="single" w:sz="4" w:space="0" w:color="auto"/>
            </w:tcBorders>
            <w:shd w:val="clear" w:color="auto" w:fill="auto"/>
            <w:noWrap/>
            <w:vAlign w:val="bottom"/>
            <w:hideMark/>
          </w:tcPr>
          <w:p w14:paraId="05D7FD1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4A14236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730" w:type="dxa"/>
            <w:tcBorders>
              <w:top w:val="nil"/>
              <w:left w:val="nil"/>
              <w:bottom w:val="single" w:sz="4" w:space="0" w:color="auto"/>
              <w:right w:val="single" w:sz="4" w:space="0" w:color="auto"/>
            </w:tcBorders>
            <w:shd w:val="clear" w:color="auto" w:fill="auto"/>
            <w:noWrap/>
            <w:vAlign w:val="bottom"/>
            <w:hideMark/>
          </w:tcPr>
          <w:p w14:paraId="019F296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18.6203</w:t>
            </w:r>
          </w:p>
        </w:tc>
      </w:tr>
      <w:tr w:rsidR="00C742D4" w14:paraId="0785663E"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71B90A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818" w:type="dxa"/>
            <w:tcBorders>
              <w:top w:val="nil"/>
              <w:left w:val="nil"/>
              <w:bottom w:val="single" w:sz="4" w:space="0" w:color="auto"/>
              <w:right w:val="single" w:sz="4" w:space="0" w:color="auto"/>
            </w:tcBorders>
            <w:shd w:val="clear" w:color="auto" w:fill="auto"/>
            <w:noWrap/>
            <w:vAlign w:val="bottom"/>
            <w:hideMark/>
          </w:tcPr>
          <w:p w14:paraId="7789D7A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7E23BC8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730" w:type="dxa"/>
            <w:tcBorders>
              <w:top w:val="nil"/>
              <w:left w:val="nil"/>
              <w:bottom w:val="single" w:sz="4" w:space="0" w:color="auto"/>
              <w:right w:val="single" w:sz="4" w:space="0" w:color="auto"/>
            </w:tcBorders>
            <w:shd w:val="clear" w:color="auto" w:fill="auto"/>
            <w:noWrap/>
            <w:vAlign w:val="bottom"/>
            <w:hideMark/>
          </w:tcPr>
          <w:p w14:paraId="3C042ED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18.6203</w:t>
            </w:r>
          </w:p>
        </w:tc>
      </w:tr>
      <w:tr w:rsidR="00C742D4" w14:paraId="22A2FA0C"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3B0093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818" w:type="dxa"/>
            <w:tcBorders>
              <w:top w:val="nil"/>
              <w:left w:val="nil"/>
              <w:bottom w:val="single" w:sz="4" w:space="0" w:color="auto"/>
              <w:right w:val="single" w:sz="4" w:space="0" w:color="auto"/>
            </w:tcBorders>
            <w:shd w:val="clear" w:color="auto" w:fill="auto"/>
            <w:noWrap/>
            <w:vAlign w:val="bottom"/>
            <w:hideMark/>
          </w:tcPr>
          <w:p w14:paraId="335ED275"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57BCAAE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730" w:type="dxa"/>
            <w:tcBorders>
              <w:top w:val="nil"/>
              <w:left w:val="nil"/>
              <w:bottom w:val="single" w:sz="4" w:space="0" w:color="auto"/>
              <w:right w:val="single" w:sz="4" w:space="0" w:color="auto"/>
            </w:tcBorders>
            <w:shd w:val="clear" w:color="auto" w:fill="auto"/>
            <w:noWrap/>
            <w:vAlign w:val="bottom"/>
            <w:hideMark/>
          </w:tcPr>
          <w:p w14:paraId="7BF5E01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24.0084</w:t>
            </w:r>
          </w:p>
        </w:tc>
      </w:tr>
      <w:tr w:rsidR="00C742D4" w14:paraId="04B151D4" w14:textId="77777777" w:rsidTr="00C742D4">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615F659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818" w:type="dxa"/>
            <w:tcBorders>
              <w:top w:val="nil"/>
              <w:left w:val="nil"/>
              <w:bottom w:val="single" w:sz="4" w:space="0" w:color="auto"/>
              <w:right w:val="single" w:sz="4" w:space="0" w:color="auto"/>
            </w:tcBorders>
            <w:shd w:val="clear" w:color="auto" w:fill="auto"/>
            <w:noWrap/>
            <w:vAlign w:val="bottom"/>
            <w:hideMark/>
          </w:tcPr>
          <w:p w14:paraId="23CA2E4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1E5DFF0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730" w:type="dxa"/>
            <w:tcBorders>
              <w:top w:val="nil"/>
              <w:left w:val="nil"/>
              <w:bottom w:val="single" w:sz="4" w:space="0" w:color="auto"/>
              <w:right w:val="single" w:sz="4" w:space="0" w:color="auto"/>
            </w:tcBorders>
            <w:shd w:val="clear" w:color="auto" w:fill="auto"/>
            <w:noWrap/>
            <w:vAlign w:val="bottom"/>
            <w:hideMark/>
          </w:tcPr>
          <w:p w14:paraId="170DBA5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24.0084</w:t>
            </w:r>
          </w:p>
        </w:tc>
      </w:tr>
    </w:tbl>
    <w:p w14:paraId="361CCE4D" w14:textId="77777777" w:rsidR="004961A1" w:rsidRDefault="004961A1" w:rsidP="00C742D4">
      <w:pPr>
        <w:rPr>
          <w:lang w:val="en-US"/>
        </w:rPr>
      </w:pPr>
    </w:p>
    <w:p w14:paraId="1D7287C4" w14:textId="4727A43F"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8</w:t>
      </w:r>
      <w:r>
        <w:fldChar w:fldCharType="end"/>
      </w:r>
      <w:r w:rsidRPr="00CF2354">
        <w:rPr>
          <w:lang w:val="en-US"/>
        </w:rPr>
        <w:t xml:space="preserve"> EIRP density at elevation angle 60 degrees</w:t>
      </w:r>
    </w:p>
    <w:tbl>
      <w:tblPr>
        <w:tblW w:w="10343" w:type="dxa"/>
        <w:jc w:val="center"/>
        <w:tblCellMar>
          <w:left w:w="70" w:type="dxa"/>
          <w:right w:w="70" w:type="dxa"/>
        </w:tblCellMar>
        <w:tblLook w:val="04A0" w:firstRow="1" w:lastRow="0" w:firstColumn="1" w:lastColumn="0" w:noHBand="0" w:noVBand="1"/>
      </w:tblPr>
      <w:tblGrid>
        <w:gridCol w:w="2694"/>
        <w:gridCol w:w="2819"/>
        <w:gridCol w:w="2248"/>
        <w:gridCol w:w="2582"/>
      </w:tblGrid>
      <w:tr w:rsidR="00C742D4" w14:paraId="7ED6BE94" w14:textId="77777777" w:rsidTr="00C742D4">
        <w:trPr>
          <w:trHeight w:val="290"/>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7684F1"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2948A0AE"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0F5A3A5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819" w:type="dxa"/>
            <w:tcBorders>
              <w:top w:val="nil"/>
              <w:left w:val="nil"/>
              <w:bottom w:val="single" w:sz="4" w:space="0" w:color="auto"/>
              <w:right w:val="single" w:sz="4" w:space="0" w:color="auto"/>
            </w:tcBorders>
            <w:shd w:val="clear" w:color="auto" w:fill="auto"/>
            <w:noWrap/>
            <w:vAlign w:val="bottom"/>
            <w:hideMark/>
          </w:tcPr>
          <w:p w14:paraId="137CD7C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4830"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76E9B4D" w14:textId="1F25F99D" w:rsidR="00C742D4" w:rsidRPr="00D41068" w:rsidRDefault="00CA2754">
            <w:pPr>
              <w:jc w:val="center"/>
              <w:rPr>
                <w:rFonts w:ascii="Calibri" w:hAnsi="Calibri" w:cs="Calibri"/>
                <w:color w:val="000000"/>
                <w:sz w:val="22"/>
                <w:szCs w:val="22"/>
                <w:lang w:val="en-US"/>
              </w:rPr>
            </w:pPr>
            <w:r w:rsidRPr="00533D67">
              <w:rPr>
                <w:rFonts w:ascii="Calibri" w:hAnsi="Calibri" w:cs="Calibri"/>
                <w:color w:val="000000"/>
                <w:sz w:val="22"/>
                <w:szCs w:val="22"/>
                <w:lang w:val="en-US"/>
              </w:rPr>
              <w:t xml:space="preserve">Regulatory limit at </w:t>
            </w:r>
            <w:r>
              <w:rPr>
                <w:rFonts w:ascii="Calibri" w:hAnsi="Calibri" w:cs="Calibri"/>
                <w:color w:val="000000"/>
                <w:sz w:val="22"/>
                <w:szCs w:val="22"/>
                <w:lang w:val="en-US"/>
              </w:rPr>
              <w:t>e</w:t>
            </w:r>
            <w:r w:rsidR="00C742D4" w:rsidRPr="00BA36E7">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60°</w:t>
            </w:r>
          </w:p>
        </w:tc>
      </w:tr>
      <w:tr w:rsidR="00C742D4" w:rsidRPr="00846B78" w14:paraId="61AF0048"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62490688"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819" w:type="dxa"/>
            <w:tcBorders>
              <w:top w:val="nil"/>
              <w:left w:val="nil"/>
              <w:bottom w:val="single" w:sz="4" w:space="0" w:color="auto"/>
              <w:right w:val="single" w:sz="4" w:space="0" w:color="auto"/>
            </w:tcBorders>
            <w:shd w:val="clear" w:color="auto" w:fill="auto"/>
            <w:noWrap/>
            <w:vAlign w:val="bottom"/>
            <w:hideMark/>
          </w:tcPr>
          <w:p w14:paraId="268C68A6"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73976897" w14:textId="78B69C36"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83840" behindDoc="0" locked="0" layoutInCell="1" allowOverlap="1" wp14:anchorId="0492F967" wp14:editId="1768CE2E">
                      <wp:simplePos x="0" y="0"/>
                      <wp:positionH relativeFrom="column">
                        <wp:posOffset>25400</wp:posOffset>
                      </wp:positionH>
                      <wp:positionV relativeFrom="paragraph">
                        <wp:posOffset>12700</wp:posOffset>
                      </wp:positionV>
                      <wp:extent cx="1035050" cy="158750"/>
                      <wp:effectExtent l="0" t="0" r="0" b="0"/>
                      <wp:wrapNone/>
                      <wp:docPr id="35" name="Textfeld 36">
                        <a:extLst xmlns:a="http://schemas.openxmlformats.org/drawingml/2006/main">
                          <a:ext uri="{FF2B5EF4-FFF2-40B4-BE49-F238E27FC236}">
                            <a16:creationId xmlns:a16="http://schemas.microsoft.com/office/drawing/2014/main" id="{13F080E0-9A9E-4528-A34F-18D6C8C89924}"/>
                          </a:ext>
                        </a:extLst>
                      </wp:docPr>
                      <wp:cNvGraphicFramePr/>
                      <a:graphic xmlns:a="http://schemas.openxmlformats.org/drawingml/2006/main">
                        <a:graphicData uri="http://schemas.microsoft.com/office/word/2010/wordprocessingShape">
                          <wps:wsp>
                            <wps:cNvSpPr txBox="1"/>
                            <wps:spPr>
                              <a:xfrm>
                                <a:off x="0" y="0"/>
                                <a:ext cx="1035050" cy="159339"/>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50C38AF4"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0492F967" id="Textfeld 36" o:spid="_x0000_s1030" type="#_x0000_t202" style="position:absolute;left:0;text-align:left;margin-left:2pt;margin-top:1pt;width:81.5pt;height:1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" filled="f" stroked="f">
                      <v:textbox style="mso-fit-shape-to-text:t" inset="0,0,0,0">
                        <w:txbxContent>
                          <w:p w14:paraId="50C38AF4"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582" w:type="dxa"/>
            <w:tcBorders>
              <w:top w:val="nil"/>
              <w:left w:val="nil"/>
              <w:bottom w:val="single" w:sz="4" w:space="0" w:color="auto"/>
              <w:right w:val="single" w:sz="4" w:space="0" w:color="auto"/>
            </w:tcBorders>
            <w:shd w:val="clear" w:color="auto" w:fill="auto"/>
            <w:noWrap/>
            <w:vAlign w:val="bottom"/>
            <w:hideMark/>
          </w:tcPr>
          <w:p w14:paraId="12946337"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628C3191"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11AAB90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819" w:type="dxa"/>
            <w:tcBorders>
              <w:top w:val="nil"/>
              <w:left w:val="nil"/>
              <w:bottom w:val="single" w:sz="4" w:space="0" w:color="auto"/>
              <w:right w:val="single" w:sz="4" w:space="0" w:color="auto"/>
            </w:tcBorders>
            <w:shd w:val="clear" w:color="auto" w:fill="auto"/>
            <w:noWrap/>
            <w:vAlign w:val="bottom"/>
            <w:hideMark/>
          </w:tcPr>
          <w:p w14:paraId="5D89FAF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116DCE5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2" w:type="dxa"/>
            <w:tcBorders>
              <w:top w:val="nil"/>
              <w:left w:val="nil"/>
              <w:bottom w:val="single" w:sz="4" w:space="0" w:color="auto"/>
              <w:right w:val="single" w:sz="4" w:space="0" w:color="auto"/>
            </w:tcBorders>
            <w:shd w:val="clear" w:color="auto" w:fill="auto"/>
            <w:noWrap/>
            <w:vAlign w:val="bottom"/>
            <w:hideMark/>
          </w:tcPr>
          <w:p w14:paraId="3C92B08F"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14.6805</w:t>
            </w:r>
          </w:p>
        </w:tc>
      </w:tr>
      <w:tr w:rsidR="00C742D4" w14:paraId="4E4841C7"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37567CC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819" w:type="dxa"/>
            <w:tcBorders>
              <w:top w:val="nil"/>
              <w:left w:val="nil"/>
              <w:bottom w:val="single" w:sz="4" w:space="0" w:color="auto"/>
              <w:right w:val="single" w:sz="4" w:space="0" w:color="auto"/>
            </w:tcBorders>
            <w:shd w:val="clear" w:color="auto" w:fill="auto"/>
            <w:noWrap/>
            <w:vAlign w:val="bottom"/>
            <w:hideMark/>
          </w:tcPr>
          <w:p w14:paraId="0BFE278E"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304021B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2" w:type="dxa"/>
            <w:tcBorders>
              <w:top w:val="nil"/>
              <w:left w:val="nil"/>
              <w:bottom w:val="single" w:sz="4" w:space="0" w:color="auto"/>
              <w:right w:val="single" w:sz="4" w:space="0" w:color="auto"/>
            </w:tcBorders>
            <w:shd w:val="clear" w:color="auto" w:fill="auto"/>
            <w:noWrap/>
            <w:vAlign w:val="bottom"/>
            <w:hideMark/>
          </w:tcPr>
          <w:p w14:paraId="275A4CF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14.6805</w:t>
            </w:r>
          </w:p>
        </w:tc>
      </w:tr>
      <w:tr w:rsidR="00C742D4" w14:paraId="31650F2E"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45104E2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819" w:type="dxa"/>
            <w:tcBorders>
              <w:top w:val="nil"/>
              <w:left w:val="nil"/>
              <w:bottom w:val="single" w:sz="4" w:space="0" w:color="auto"/>
              <w:right w:val="single" w:sz="4" w:space="0" w:color="auto"/>
            </w:tcBorders>
            <w:shd w:val="clear" w:color="auto" w:fill="auto"/>
            <w:noWrap/>
            <w:vAlign w:val="bottom"/>
            <w:hideMark/>
          </w:tcPr>
          <w:p w14:paraId="1D93065C"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2C67C93F"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2" w:type="dxa"/>
            <w:tcBorders>
              <w:top w:val="nil"/>
              <w:left w:val="nil"/>
              <w:bottom w:val="single" w:sz="4" w:space="0" w:color="auto"/>
              <w:right w:val="single" w:sz="4" w:space="0" w:color="auto"/>
            </w:tcBorders>
            <w:shd w:val="clear" w:color="auto" w:fill="auto"/>
            <w:noWrap/>
            <w:vAlign w:val="bottom"/>
            <w:hideMark/>
          </w:tcPr>
          <w:p w14:paraId="24A036DA"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20.6052</w:t>
            </w:r>
          </w:p>
        </w:tc>
      </w:tr>
      <w:tr w:rsidR="00C742D4" w14:paraId="04FD9E01" w14:textId="77777777" w:rsidTr="00C742D4">
        <w:trPr>
          <w:trHeight w:val="290"/>
          <w:jc w:val="center"/>
        </w:trPr>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0D04243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819" w:type="dxa"/>
            <w:tcBorders>
              <w:top w:val="nil"/>
              <w:left w:val="nil"/>
              <w:bottom w:val="single" w:sz="4" w:space="0" w:color="auto"/>
              <w:right w:val="single" w:sz="4" w:space="0" w:color="auto"/>
            </w:tcBorders>
            <w:shd w:val="clear" w:color="auto" w:fill="auto"/>
            <w:noWrap/>
            <w:vAlign w:val="bottom"/>
            <w:hideMark/>
          </w:tcPr>
          <w:p w14:paraId="72EE16E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32F1ED0B"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582" w:type="dxa"/>
            <w:tcBorders>
              <w:top w:val="nil"/>
              <w:left w:val="nil"/>
              <w:bottom w:val="single" w:sz="4" w:space="0" w:color="auto"/>
              <w:right w:val="single" w:sz="4" w:space="0" w:color="auto"/>
            </w:tcBorders>
            <w:shd w:val="clear" w:color="auto" w:fill="auto"/>
            <w:noWrap/>
            <w:vAlign w:val="bottom"/>
            <w:hideMark/>
          </w:tcPr>
          <w:p w14:paraId="061F975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20.6052</w:t>
            </w:r>
          </w:p>
        </w:tc>
      </w:tr>
    </w:tbl>
    <w:p w14:paraId="32C11C8C" w14:textId="77777777" w:rsidR="005A3F3E" w:rsidRDefault="005A3F3E" w:rsidP="001A65AE">
      <w:pPr>
        <w:jc w:val="center"/>
        <w:rPr>
          <w:lang w:val="en-US"/>
        </w:rPr>
      </w:pPr>
    </w:p>
    <w:p w14:paraId="3EFD20BF" w14:textId="527D605E"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9</w:t>
      </w:r>
      <w:r>
        <w:fldChar w:fldCharType="end"/>
      </w:r>
      <w:r w:rsidRPr="00CF2354">
        <w:rPr>
          <w:lang w:val="en-US"/>
        </w:rPr>
        <w:t xml:space="preserve"> EIRP density at elevation angle 90 degrees</w:t>
      </w:r>
    </w:p>
    <w:tbl>
      <w:tblPr>
        <w:tblW w:w="10343" w:type="dxa"/>
        <w:jc w:val="center"/>
        <w:tblCellMar>
          <w:left w:w="70" w:type="dxa"/>
          <w:right w:w="70" w:type="dxa"/>
        </w:tblCellMar>
        <w:tblLook w:val="04A0" w:firstRow="1" w:lastRow="0" w:firstColumn="1" w:lastColumn="0" w:noHBand="0" w:noVBand="1"/>
      </w:tblPr>
      <w:tblGrid>
        <w:gridCol w:w="2263"/>
        <w:gridCol w:w="2961"/>
        <w:gridCol w:w="2248"/>
        <w:gridCol w:w="2871"/>
      </w:tblGrid>
      <w:tr w:rsidR="00C742D4" w14:paraId="55C6A0F7" w14:textId="77777777" w:rsidTr="00C742D4">
        <w:trPr>
          <w:trHeight w:val="290"/>
          <w:jc w:val="center"/>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688BC3"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2160-2200 MHz</w:t>
            </w:r>
          </w:p>
        </w:tc>
      </w:tr>
      <w:tr w:rsidR="00C742D4" w:rsidRPr="00846B78" w14:paraId="30F9DF07"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019F78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2961" w:type="dxa"/>
            <w:tcBorders>
              <w:top w:val="nil"/>
              <w:left w:val="nil"/>
              <w:bottom w:val="single" w:sz="4" w:space="0" w:color="auto"/>
              <w:right w:val="single" w:sz="4" w:space="0" w:color="auto"/>
            </w:tcBorders>
            <w:shd w:val="clear" w:color="auto" w:fill="auto"/>
            <w:noWrap/>
            <w:vAlign w:val="bottom"/>
            <w:hideMark/>
          </w:tcPr>
          <w:p w14:paraId="3F38C630"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 </w:t>
            </w:r>
          </w:p>
        </w:tc>
        <w:tc>
          <w:tcPr>
            <w:tcW w:w="5119"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017ED5E" w14:textId="0EE5BA9B" w:rsidR="00C742D4" w:rsidRPr="00D41068" w:rsidRDefault="00CA2754">
            <w:pPr>
              <w:jc w:val="center"/>
              <w:rPr>
                <w:rFonts w:ascii="Calibri" w:hAnsi="Calibri" w:cs="Calibri"/>
                <w:color w:val="000000"/>
                <w:sz w:val="22"/>
                <w:szCs w:val="22"/>
                <w:lang w:val="en-US"/>
              </w:rPr>
            </w:pPr>
            <w:r w:rsidRPr="00533D67">
              <w:rPr>
                <w:rFonts w:ascii="Calibri" w:hAnsi="Calibri" w:cs="Calibri"/>
                <w:color w:val="000000"/>
                <w:sz w:val="22"/>
                <w:szCs w:val="22"/>
                <w:lang w:val="en-US"/>
              </w:rPr>
              <w:t xml:space="preserve">Regulatory limit at </w:t>
            </w:r>
            <w:r w:rsidRPr="00BA36E7">
              <w:rPr>
                <w:rFonts w:ascii="Calibri" w:hAnsi="Calibri" w:cs="Calibri"/>
                <w:color w:val="000000"/>
                <w:sz w:val="22"/>
                <w:szCs w:val="22"/>
                <w:lang w:val="en-US"/>
              </w:rPr>
              <w:t>e</w:t>
            </w:r>
            <w:r w:rsidR="00C742D4" w:rsidRPr="00BA36E7">
              <w:rPr>
                <w:rFonts w:ascii="Calibri" w:hAnsi="Calibri" w:cs="Calibri"/>
                <w:color w:val="000000"/>
                <w:sz w:val="22"/>
                <w:szCs w:val="22"/>
                <w:lang w:val="en-US"/>
              </w:rPr>
              <w:t xml:space="preserve">levation angle </w:t>
            </w:r>
            <w:r w:rsidR="00C742D4">
              <w:rPr>
                <w:rFonts w:ascii="Calibri" w:hAnsi="Calibri" w:cs="Calibri"/>
                <w:color w:val="000000"/>
                <w:sz w:val="22"/>
                <w:szCs w:val="22"/>
              </w:rPr>
              <w:t>δ</w:t>
            </w:r>
            <w:r w:rsidR="00C742D4" w:rsidRPr="00D41068">
              <w:rPr>
                <w:rFonts w:ascii="Calibri" w:hAnsi="Calibri" w:cs="Calibri"/>
                <w:color w:val="000000"/>
                <w:sz w:val="22"/>
                <w:szCs w:val="22"/>
                <w:lang w:val="en-US"/>
              </w:rPr>
              <w:t xml:space="preserve"> = 90°</w:t>
            </w:r>
          </w:p>
        </w:tc>
      </w:tr>
      <w:tr w:rsidR="00C742D4" w:rsidRPr="00846B78" w14:paraId="133B266B"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CEDEC01" w14:textId="77777777" w:rsidR="00C742D4" w:rsidRPr="00D41068" w:rsidRDefault="00C742D4">
            <w:pPr>
              <w:jc w:val="center"/>
              <w:rPr>
                <w:rFonts w:ascii="Calibri" w:hAnsi="Calibri" w:cs="Calibri"/>
                <w:color w:val="000000"/>
                <w:sz w:val="22"/>
                <w:szCs w:val="22"/>
                <w:lang w:val="en-US"/>
              </w:rPr>
            </w:pPr>
            <w:r w:rsidRPr="00D41068">
              <w:rPr>
                <w:rFonts w:ascii="Calibri" w:hAnsi="Calibri" w:cs="Calibri"/>
                <w:color w:val="000000"/>
                <w:sz w:val="22"/>
                <w:szCs w:val="22"/>
                <w:lang w:val="en-US"/>
              </w:rPr>
              <w:t> </w:t>
            </w:r>
          </w:p>
        </w:tc>
        <w:tc>
          <w:tcPr>
            <w:tcW w:w="2961" w:type="dxa"/>
            <w:tcBorders>
              <w:top w:val="nil"/>
              <w:left w:val="nil"/>
              <w:bottom w:val="single" w:sz="4" w:space="0" w:color="auto"/>
              <w:right w:val="single" w:sz="4" w:space="0" w:color="auto"/>
            </w:tcBorders>
            <w:shd w:val="clear" w:color="auto" w:fill="auto"/>
            <w:noWrap/>
            <w:vAlign w:val="bottom"/>
            <w:hideMark/>
          </w:tcPr>
          <w:p w14:paraId="4E83CF62"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EIRP Density (TR38.821)</w:t>
            </w:r>
          </w:p>
        </w:tc>
        <w:tc>
          <w:tcPr>
            <w:tcW w:w="2248" w:type="dxa"/>
            <w:tcBorders>
              <w:top w:val="nil"/>
              <w:left w:val="nil"/>
              <w:bottom w:val="single" w:sz="4" w:space="0" w:color="auto"/>
              <w:right w:val="single" w:sz="4" w:space="0" w:color="auto"/>
            </w:tcBorders>
            <w:shd w:val="clear" w:color="auto" w:fill="auto"/>
            <w:noWrap/>
            <w:vAlign w:val="bottom"/>
            <w:hideMark/>
          </w:tcPr>
          <w:p w14:paraId="31B7C788" w14:textId="0F82D95A" w:rsidR="00C742D4" w:rsidRDefault="00C742D4">
            <w:pPr>
              <w:jc w:val="center"/>
              <w:rPr>
                <w:rFonts w:ascii="Calibri" w:hAnsi="Calibri" w:cs="Calibri"/>
                <w:color w:val="000000"/>
                <w:sz w:val="22"/>
                <w:szCs w:val="22"/>
              </w:rPr>
            </w:pPr>
            <w:r>
              <w:rPr>
                <w:rFonts w:ascii="Calibri" w:hAnsi="Calibri" w:cs="Calibri"/>
                <w:noProof/>
                <w:color w:val="000000"/>
                <w:sz w:val="22"/>
                <w:szCs w:val="22"/>
              </w:rPr>
              <mc:AlternateContent>
                <mc:Choice Requires="wps">
                  <w:drawing>
                    <wp:anchor distT="0" distB="0" distL="114300" distR="114300" simplePos="0" relativeHeight="251685888" behindDoc="0" locked="0" layoutInCell="1" allowOverlap="1" wp14:anchorId="78E3A61C" wp14:editId="6FFD622F">
                      <wp:simplePos x="0" y="0"/>
                      <wp:positionH relativeFrom="column">
                        <wp:posOffset>25400</wp:posOffset>
                      </wp:positionH>
                      <wp:positionV relativeFrom="paragraph">
                        <wp:posOffset>6350</wp:posOffset>
                      </wp:positionV>
                      <wp:extent cx="1035050" cy="165100"/>
                      <wp:effectExtent l="0" t="0" r="0" b="0"/>
                      <wp:wrapNone/>
                      <wp:docPr id="36" name="Textfeld 37">
                        <a:extLst xmlns:a="http://schemas.openxmlformats.org/drawingml/2006/main">
                          <a:ext uri="{FF2B5EF4-FFF2-40B4-BE49-F238E27FC236}">
                            <a16:creationId xmlns:a16="http://schemas.microsoft.com/office/drawing/2014/main" id="{3A76ED7D-42A2-413A-8836-8540FDAAFDED}"/>
                          </a:ext>
                        </a:extLst>
                      </wp:docPr>
                      <wp:cNvGraphicFramePr/>
                      <a:graphic xmlns:a="http://schemas.openxmlformats.org/drawingml/2006/main">
                        <a:graphicData uri="http://schemas.microsoft.com/office/word/2010/wordprocessingShape">
                          <wps:wsp>
                            <wps:cNvSpPr txBox="1"/>
                            <wps:spPr>
                              <a:xfrm>
                                <a:off x="0" y="0"/>
                                <a:ext cx="1035050" cy="159339"/>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41CDCEC9"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wps:txbx>
                            <wps:bodyPr vertOverflow="clip" horzOverflow="clip" wrap="square" lIns="0" tIns="0" rIns="0" bIns="0" rtlCol="0" anchor="t">
                              <a:spAutoFit/>
                            </wps:bodyPr>
                          </wps:wsp>
                        </a:graphicData>
                      </a:graphic>
                      <wp14:sizeRelH relativeFrom="page">
                        <wp14:pctWidth>0</wp14:pctWidth>
                      </wp14:sizeRelH>
                      <wp14:sizeRelV relativeFrom="page">
                        <wp14:pctHeight>0</wp14:pctHeight>
                      </wp14:sizeRelV>
                    </wp:anchor>
                  </w:drawing>
                </mc:Choice>
                <mc:Fallback>
                  <w:pict>
                    <v:shape w14:anchorId="78E3A61C" id="Textfeld 37" o:spid="_x0000_s1031" type="#_x0000_t202" style="position:absolute;left:0;text-align:left;margin-left:2pt;margin-top:.5pt;width:81.5pt;height:1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" filled="f" stroked="f">
                      <v:textbox style="mso-fit-shape-to-text:t" inset="0,0,0,0">
                        <w:txbxContent>
                          <w:p w14:paraId="41CDCEC9" w14:textId="77777777" w:rsidR="00C742D4" w:rsidRDefault="00C742D4" w:rsidP="00C742D4">
                            <w:pPr>
                              <w:rPr>
                                <w:rFonts w:ascii="Cambria Math" w:hAnsi="Cambria Math" w:cstheme="minorBidi"/>
                                <w:i/>
                                <w:iCs/>
                                <w:color w:val="000000" w:themeColor="text1"/>
                                <w:sz w:val="20"/>
                                <w:szCs w:val="20"/>
                              </w:rPr>
                            </w:pPr>
                            <m:oMathPara>
                              <m:oMathParaPr>
                                <m:jc m:val="centerGroup"/>
                              </m:oMathParaPr>
                              <m:oMath>
                                <m:r>
                                  <w:rPr>
                                    <w:rFonts w:ascii="Cambria Math" w:hAnsi="Cambria Math" w:cstheme="minorBidi"/>
                                    <w:color w:val="000000" w:themeColor="text1"/>
                                    <w:sz w:val="20"/>
                                    <w:szCs w:val="20"/>
                                  </w:rPr>
                                  <m:t>PFD dB</m:t>
                                </m:r>
                                <m:d>
                                  <m:dPr>
                                    <m:ctrlPr>
                                      <w:rPr>
                                        <w:rFonts w:ascii="Cambria Math" w:eastAsiaTheme="minorEastAsia" w:hAnsi="Cambria Math" w:cstheme="minorBidi"/>
                                        <w:i/>
                                        <w:iCs/>
                                        <w:color w:val="000000" w:themeColor="text1"/>
                                      </w:rPr>
                                    </m:ctrlPr>
                                  </m:dPr>
                                  <m:e>
                                    <m:r>
                                      <w:rPr>
                                        <w:rFonts w:ascii="Cambria Math" w:hAnsi="Cambria Math" w:cstheme="minorBidi"/>
                                        <w:color w:val="000000" w:themeColor="text1"/>
                                        <w:sz w:val="20"/>
                                        <w:szCs w:val="20"/>
                                      </w:rPr>
                                      <m:t>W/</m:t>
                                    </m:r>
                                    <m:sSup>
                                      <m:sSupPr>
                                        <m:ctrlPr>
                                          <w:rPr>
                                            <w:rFonts w:ascii="Cambria Math" w:eastAsiaTheme="minorEastAsia" w:hAnsi="Cambria Math" w:cstheme="minorBidi"/>
                                            <w:i/>
                                            <w:iCs/>
                                            <w:color w:val="000000" w:themeColor="text1"/>
                                          </w:rPr>
                                        </m:ctrlPr>
                                      </m:sSupPr>
                                      <m:e>
                                        <m:r>
                                          <w:rPr>
                                            <w:rFonts w:ascii="Cambria Math" w:hAnsi="Cambria Math" w:cstheme="minorBidi"/>
                                            <w:color w:val="000000" w:themeColor="text1"/>
                                            <w:sz w:val="20"/>
                                            <w:szCs w:val="20"/>
                                          </w:rPr>
                                          <m:t>m</m:t>
                                        </m:r>
                                      </m:e>
                                      <m:sup>
                                        <m:r>
                                          <w:rPr>
                                            <w:rFonts w:ascii="Cambria Math" w:hAnsi="Cambria Math" w:cstheme="minorBidi"/>
                                            <w:color w:val="000000" w:themeColor="text1"/>
                                            <w:sz w:val="20"/>
                                            <w:szCs w:val="20"/>
                                          </w:rPr>
                                          <m:t>2</m:t>
                                        </m:r>
                                      </m:sup>
                                    </m:sSup>
                                  </m:e>
                                </m:d>
                              </m:oMath>
                            </m:oMathPara>
                          </w:p>
                        </w:txbxContent>
                      </v:textbox>
                    </v:shape>
                  </w:pict>
                </mc:Fallback>
              </mc:AlternateContent>
            </w:r>
          </w:p>
        </w:tc>
        <w:tc>
          <w:tcPr>
            <w:tcW w:w="2871" w:type="dxa"/>
            <w:tcBorders>
              <w:top w:val="nil"/>
              <w:left w:val="nil"/>
              <w:bottom w:val="single" w:sz="4" w:space="0" w:color="auto"/>
              <w:right w:val="single" w:sz="4" w:space="0" w:color="auto"/>
            </w:tcBorders>
            <w:shd w:val="clear" w:color="auto" w:fill="auto"/>
            <w:noWrap/>
            <w:vAlign w:val="bottom"/>
            <w:hideMark/>
          </w:tcPr>
          <w:p w14:paraId="726E7994" w14:textId="77777777" w:rsidR="00C742D4" w:rsidRPr="00C742D4" w:rsidRDefault="00C742D4">
            <w:pPr>
              <w:jc w:val="center"/>
              <w:rPr>
                <w:rFonts w:ascii="Calibri" w:hAnsi="Calibri" w:cs="Calibri"/>
                <w:color w:val="000000"/>
                <w:sz w:val="22"/>
                <w:szCs w:val="22"/>
                <w:lang w:val="en-US"/>
              </w:rPr>
            </w:pPr>
            <w:r w:rsidRPr="00C742D4">
              <w:rPr>
                <w:rFonts w:ascii="Calibri" w:hAnsi="Calibri" w:cs="Calibri"/>
                <w:color w:val="000000"/>
                <w:sz w:val="22"/>
                <w:szCs w:val="22"/>
                <w:lang w:val="en-US"/>
              </w:rPr>
              <w:t>EIRP Density w PFD limit</w:t>
            </w:r>
          </w:p>
        </w:tc>
      </w:tr>
      <w:tr w:rsidR="00C742D4" w14:paraId="5E5A51AA"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5F3D8FE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set-1</w:t>
            </w:r>
          </w:p>
        </w:tc>
        <w:tc>
          <w:tcPr>
            <w:tcW w:w="2961" w:type="dxa"/>
            <w:tcBorders>
              <w:top w:val="nil"/>
              <w:left w:val="nil"/>
              <w:bottom w:val="single" w:sz="4" w:space="0" w:color="auto"/>
              <w:right w:val="single" w:sz="4" w:space="0" w:color="auto"/>
            </w:tcBorders>
            <w:shd w:val="clear" w:color="auto" w:fill="auto"/>
            <w:noWrap/>
            <w:vAlign w:val="bottom"/>
            <w:hideMark/>
          </w:tcPr>
          <w:p w14:paraId="57C6006F"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620B7DA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871" w:type="dxa"/>
            <w:tcBorders>
              <w:top w:val="nil"/>
              <w:left w:val="nil"/>
              <w:bottom w:val="single" w:sz="4" w:space="0" w:color="auto"/>
              <w:right w:val="single" w:sz="4" w:space="0" w:color="auto"/>
            </w:tcBorders>
            <w:shd w:val="clear" w:color="auto" w:fill="auto"/>
            <w:noWrap/>
            <w:vAlign w:val="bottom"/>
            <w:hideMark/>
          </w:tcPr>
          <w:p w14:paraId="6DE0A65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13.5551</w:t>
            </w:r>
          </w:p>
        </w:tc>
      </w:tr>
      <w:tr w:rsidR="00C742D4" w14:paraId="230CACAF"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49FBBC8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LEO-600 set-2</w:t>
            </w:r>
          </w:p>
        </w:tc>
        <w:tc>
          <w:tcPr>
            <w:tcW w:w="2961" w:type="dxa"/>
            <w:tcBorders>
              <w:top w:val="nil"/>
              <w:left w:val="nil"/>
              <w:bottom w:val="single" w:sz="4" w:space="0" w:color="auto"/>
              <w:right w:val="single" w:sz="4" w:space="0" w:color="auto"/>
            </w:tcBorders>
            <w:shd w:val="clear" w:color="auto" w:fill="auto"/>
            <w:noWrap/>
            <w:vAlign w:val="bottom"/>
            <w:hideMark/>
          </w:tcPr>
          <w:p w14:paraId="597D463C"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28 dBW/MHz</w:t>
            </w:r>
          </w:p>
        </w:tc>
        <w:tc>
          <w:tcPr>
            <w:tcW w:w="2248" w:type="dxa"/>
            <w:tcBorders>
              <w:top w:val="nil"/>
              <w:left w:val="nil"/>
              <w:bottom w:val="single" w:sz="4" w:space="0" w:color="auto"/>
              <w:right w:val="single" w:sz="4" w:space="0" w:color="auto"/>
            </w:tcBorders>
            <w:shd w:val="clear" w:color="auto" w:fill="auto"/>
            <w:noWrap/>
            <w:vAlign w:val="bottom"/>
            <w:hideMark/>
          </w:tcPr>
          <w:p w14:paraId="35FC63E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871" w:type="dxa"/>
            <w:tcBorders>
              <w:top w:val="nil"/>
              <w:left w:val="nil"/>
              <w:bottom w:val="single" w:sz="4" w:space="0" w:color="auto"/>
              <w:right w:val="single" w:sz="4" w:space="0" w:color="auto"/>
            </w:tcBorders>
            <w:shd w:val="clear" w:color="auto" w:fill="auto"/>
            <w:noWrap/>
            <w:vAlign w:val="bottom"/>
            <w:hideMark/>
          </w:tcPr>
          <w:p w14:paraId="2E919BA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13.5551</w:t>
            </w:r>
          </w:p>
        </w:tc>
      </w:tr>
      <w:tr w:rsidR="00C742D4" w14:paraId="0261D575"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384981B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set-1</w:t>
            </w:r>
          </w:p>
        </w:tc>
        <w:tc>
          <w:tcPr>
            <w:tcW w:w="2961" w:type="dxa"/>
            <w:tcBorders>
              <w:top w:val="nil"/>
              <w:left w:val="nil"/>
              <w:bottom w:val="single" w:sz="4" w:space="0" w:color="auto"/>
              <w:right w:val="single" w:sz="4" w:space="0" w:color="auto"/>
            </w:tcBorders>
            <w:shd w:val="clear" w:color="auto" w:fill="auto"/>
            <w:noWrap/>
            <w:vAlign w:val="bottom"/>
            <w:hideMark/>
          </w:tcPr>
          <w:p w14:paraId="77019ED8"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40 dBW/MHz</w:t>
            </w:r>
          </w:p>
        </w:tc>
        <w:tc>
          <w:tcPr>
            <w:tcW w:w="2248" w:type="dxa"/>
            <w:tcBorders>
              <w:top w:val="nil"/>
              <w:left w:val="nil"/>
              <w:bottom w:val="single" w:sz="4" w:space="0" w:color="auto"/>
              <w:right w:val="single" w:sz="4" w:space="0" w:color="auto"/>
            </w:tcBorders>
            <w:shd w:val="clear" w:color="auto" w:fill="auto"/>
            <w:noWrap/>
            <w:vAlign w:val="bottom"/>
            <w:hideMark/>
          </w:tcPr>
          <w:p w14:paraId="1437B71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871" w:type="dxa"/>
            <w:tcBorders>
              <w:top w:val="nil"/>
              <w:left w:val="nil"/>
              <w:bottom w:val="single" w:sz="4" w:space="0" w:color="auto"/>
              <w:right w:val="single" w:sz="4" w:space="0" w:color="auto"/>
            </w:tcBorders>
            <w:shd w:val="clear" w:color="auto" w:fill="auto"/>
            <w:noWrap/>
            <w:vAlign w:val="bottom"/>
            <w:hideMark/>
          </w:tcPr>
          <w:p w14:paraId="387883B7"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19.5757</w:t>
            </w:r>
          </w:p>
        </w:tc>
      </w:tr>
      <w:tr w:rsidR="00C742D4" w14:paraId="2B02E6F0" w14:textId="77777777" w:rsidTr="00C742D4">
        <w:trPr>
          <w:trHeight w:val="29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E469209"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LEO-1200 set-2</w:t>
            </w:r>
          </w:p>
        </w:tc>
        <w:tc>
          <w:tcPr>
            <w:tcW w:w="2961" w:type="dxa"/>
            <w:tcBorders>
              <w:top w:val="nil"/>
              <w:left w:val="nil"/>
              <w:bottom w:val="single" w:sz="4" w:space="0" w:color="auto"/>
              <w:right w:val="single" w:sz="4" w:space="0" w:color="auto"/>
            </w:tcBorders>
            <w:shd w:val="clear" w:color="auto" w:fill="auto"/>
            <w:noWrap/>
            <w:vAlign w:val="bottom"/>
            <w:hideMark/>
          </w:tcPr>
          <w:p w14:paraId="745D6DB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34 dBW/MHz</w:t>
            </w:r>
          </w:p>
        </w:tc>
        <w:tc>
          <w:tcPr>
            <w:tcW w:w="2248" w:type="dxa"/>
            <w:tcBorders>
              <w:top w:val="nil"/>
              <w:left w:val="nil"/>
              <w:bottom w:val="single" w:sz="4" w:space="0" w:color="auto"/>
              <w:right w:val="single" w:sz="4" w:space="0" w:color="auto"/>
            </w:tcBorders>
            <w:shd w:val="clear" w:color="auto" w:fill="auto"/>
            <w:noWrap/>
            <w:vAlign w:val="bottom"/>
            <w:hideMark/>
          </w:tcPr>
          <w:p w14:paraId="3F47CFFD"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-113</w:t>
            </w:r>
          </w:p>
        </w:tc>
        <w:tc>
          <w:tcPr>
            <w:tcW w:w="2871" w:type="dxa"/>
            <w:tcBorders>
              <w:top w:val="nil"/>
              <w:left w:val="nil"/>
              <w:bottom w:val="single" w:sz="4" w:space="0" w:color="auto"/>
              <w:right w:val="single" w:sz="4" w:space="0" w:color="auto"/>
            </w:tcBorders>
            <w:shd w:val="clear" w:color="auto" w:fill="auto"/>
            <w:noWrap/>
            <w:vAlign w:val="bottom"/>
            <w:hideMark/>
          </w:tcPr>
          <w:p w14:paraId="4102FF24" w14:textId="77777777" w:rsidR="00C742D4" w:rsidRDefault="00C742D4">
            <w:pPr>
              <w:jc w:val="center"/>
              <w:rPr>
                <w:rFonts w:ascii="Calibri" w:hAnsi="Calibri" w:cs="Calibri"/>
                <w:color w:val="000000"/>
                <w:sz w:val="22"/>
                <w:szCs w:val="22"/>
              </w:rPr>
            </w:pPr>
            <w:r>
              <w:rPr>
                <w:rFonts w:ascii="Calibri" w:hAnsi="Calibri" w:cs="Calibri"/>
                <w:color w:val="000000"/>
                <w:sz w:val="22"/>
                <w:szCs w:val="22"/>
              </w:rPr>
              <w:t>19.5757</w:t>
            </w:r>
          </w:p>
        </w:tc>
      </w:tr>
    </w:tbl>
    <w:p w14:paraId="3924AB21" w14:textId="77777777" w:rsidR="00AD3E4D" w:rsidRDefault="00AD3E4D" w:rsidP="009C70D8">
      <w:pPr>
        <w:rPr>
          <w:lang w:val="en-US"/>
        </w:rPr>
      </w:pPr>
    </w:p>
    <w:p w14:paraId="1AE56C25" w14:textId="77777777" w:rsidR="00AD3E4D" w:rsidRDefault="00AD3E4D" w:rsidP="009C70D8">
      <w:pPr>
        <w:rPr>
          <w:lang w:val="en-US"/>
        </w:rPr>
      </w:pPr>
    </w:p>
    <w:p w14:paraId="7BCC4DA3" w14:textId="77777777" w:rsidR="000444B1" w:rsidRDefault="000444B1" w:rsidP="009C70D8">
      <w:pPr>
        <w:rPr>
          <w:lang w:val="en-US"/>
        </w:rPr>
      </w:pPr>
    </w:p>
    <w:p w14:paraId="60DE39FE" w14:textId="77777777" w:rsidR="00B26724" w:rsidRDefault="00B26724" w:rsidP="00AA2883">
      <w:pPr>
        <w:rPr>
          <w:bCs/>
          <w:lang w:val="en-US"/>
        </w:rPr>
      </w:pPr>
    </w:p>
    <w:p w14:paraId="77052118" w14:textId="31F47A89" w:rsidR="00BF2E98" w:rsidRPr="00D6424A" w:rsidRDefault="00D6424A" w:rsidP="00BF2E98">
      <w:pPr>
        <w:pStyle w:val="berschrift2"/>
        <w:numPr>
          <w:ilvl w:val="1"/>
          <w:numId w:val="35"/>
        </w:numPr>
        <w:rPr>
          <w:sz w:val="28"/>
          <w:szCs w:val="28"/>
        </w:rPr>
      </w:pPr>
      <w:r w:rsidRPr="00D6424A">
        <w:rPr>
          <w:sz w:val="28"/>
          <w:szCs w:val="28"/>
        </w:rPr>
        <w:t>Link Lev</w:t>
      </w:r>
      <w:r w:rsidR="005167AD">
        <w:rPr>
          <w:sz w:val="28"/>
          <w:szCs w:val="28"/>
        </w:rPr>
        <w:t>el</w:t>
      </w:r>
    </w:p>
    <w:p w14:paraId="3ECFD713" w14:textId="77777777" w:rsidR="00BF2E98" w:rsidRDefault="00BF2E98" w:rsidP="00BF2E98">
      <w:pPr>
        <w:rPr>
          <w:lang w:val="en-US"/>
        </w:rPr>
      </w:pPr>
    </w:p>
    <w:p w14:paraId="73520F4C" w14:textId="1A942D2B" w:rsidR="001635CB" w:rsidRDefault="001635CB" w:rsidP="001635CB">
      <w:pPr>
        <w:pStyle w:val="berschrift4"/>
        <w:numPr>
          <w:ilvl w:val="2"/>
          <w:numId w:val="35"/>
        </w:numPr>
        <w:rPr>
          <w:sz w:val="24"/>
          <w:szCs w:val="24"/>
        </w:rPr>
      </w:pPr>
      <w:r w:rsidRPr="001635CB">
        <w:rPr>
          <w:sz w:val="24"/>
          <w:szCs w:val="24"/>
        </w:rPr>
        <w:t>Link Budget Analysis</w:t>
      </w:r>
    </w:p>
    <w:p w14:paraId="7DE7042B" w14:textId="77777777" w:rsidR="001635CB" w:rsidRDefault="001635CB" w:rsidP="001635CB">
      <w:pPr>
        <w:rPr>
          <w:lang w:val="en-GB"/>
        </w:rPr>
      </w:pPr>
    </w:p>
    <w:p w14:paraId="100B0045" w14:textId="77777777" w:rsidR="001635CB" w:rsidRDefault="001635CB" w:rsidP="001635CB">
      <w:pPr>
        <w:rPr>
          <w:lang w:val="en-US"/>
        </w:rPr>
      </w:pPr>
      <w:r>
        <w:rPr>
          <w:lang w:val="en-US"/>
        </w:rPr>
        <w:t>Table 6.1.1.1-9 in [2] defined 30 scenario cases, where the following scenario cases were defined for LEO-600 at S-band:</w:t>
      </w:r>
    </w:p>
    <w:p w14:paraId="11160992" w14:textId="77777777" w:rsidR="001635CB" w:rsidRDefault="001635CB" w:rsidP="001635CB">
      <w:pPr>
        <w:rPr>
          <w:lang w:val="en-US"/>
        </w:rPr>
      </w:pPr>
    </w:p>
    <w:p w14:paraId="1579E9DA" w14:textId="77777777" w:rsidR="001635CB" w:rsidRDefault="001635CB" w:rsidP="001635CB">
      <w:pPr>
        <w:rPr>
          <w:lang w:val="en-US"/>
        </w:rPr>
      </w:pPr>
    </w:p>
    <w:tbl>
      <w:tblPr>
        <w:tblW w:w="8400" w:type="dxa"/>
        <w:jc w:val="center"/>
        <w:tblCellMar>
          <w:left w:w="70" w:type="dxa"/>
          <w:right w:w="70" w:type="dxa"/>
        </w:tblCellMar>
        <w:tblLook w:val="04A0" w:firstRow="1" w:lastRow="0" w:firstColumn="1" w:lastColumn="0" w:noHBand="0" w:noVBand="1"/>
      </w:tblPr>
      <w:tblGrid>
        <w:gridCol w:w="1200"/>
        <w:gridCol w:w="1200"/>
        <w:gridCol w:w="1200"/>
        <w:gridCol w:w="1200"/>
        <w:gridCol w:w="1200"/>
        <w:gridCol w:w="1200"/>
        <w:gridCol w:w="1200"/>
      </w:tblGrid>
      <w:tr w:rsidR="001635CB" w14:paraId="15F52F32" w14:textId="77777777" w:rsidTr="00AD4088">
        <w:trPr>
          <w:trHeight w:val="700"/>
          <w:jc w:val="center"/>
        </w:trPr>
        <w:tc>
          <w:tcPr>
            <w:tcW w:w="12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10D1270"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Case</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6D88F5AD"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Satellite orbit</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A45E762"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Satellite parameter set</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26CA7172"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Central beam elevation</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3F6EE9E5"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Terminal</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1D0FDAF9"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Frequency Band</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45041B3"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Frequency/ Polarization Reuse</w:t>
            </w:r>
          </w:p>
        </w:tc>
      </w:tr>
      <w:tr w:rsidR="001635CB" w14:paraId="2CBF781C" w14:textId="77777777" w:rsidTr="00AD4088">
        <w:trPr>
          <w:trHeight w:val="300"/>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7A20495B"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9</w:t>
            </w:r>
          </w:p>
        </w:tc>
        <w:tc>
          <w:tcPr>
            <w:tcW w:w="1200" w:type="dxa"/>
            <w:tcBorders>
              <w:top w:val="nil"/>
              <w:left w:val="nil"/>
              <w:bottom w:val="single" w:sz="8" w:space="0" w:color="auto"/>
              <w:right w:val="single" w:sz="8" w:space="0" w:color="auto"/>
            </w:tcBorders>
            <w:shd w:val="clear" w:color="auto" w:fill="auto"/>
            <w:vAlign w:val="center"/>
            <w:hideMark/>
          </w:tcPr>
          <w:p w14:paraId="43AB311A"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LEO-600</w:t>
            </w:r>
          </w:p>
        </w:tc>
        <w:tc>
          <w:tcPr>
            <w:tcW w:w="1200" w:type="dxa"/>
            <w:tcBorders>
              <w:top w:val="nil"/>
              <w:left w:val="nil"/>
              <w:bottom w:val="single" w:sz="8" w:space="0" w:color="auto"/>
              <w:right w:val="single" w:sz="8" w:space="0" w:color="auto"/>
            </w:tcBorders>
            <w:shd w:val="clear" w:color="auto" w:fill="auto"/>
            <w:vAlign w:val="center"/>
            <w:hideMark/>
          </w:tcPr>
          <w:p w14:paraId="198794D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Set 1</w:t>
            </w:r>
          </w:p>
        </w:tc>
        <w:tc>
          <w:tcPr>
            <w:tcW w:w="1200" w:type="dxa"/>
            <w:tcBorders>
              <w:top w:val="nil"/>
              <w:left w:val="nil"/>
              <w:bottom w:val="single" w:sz="8" w:space="0" w:color="auto"/>
              <w:right w:val="single" w:sz="8" w:space="0" w:color="auto"/>
            </w:tcBorders>
            <w:shd w:val="clear" w:color="auto" w:fill="auto"/>
            <w:vAlign w:val="center"/>
            <w:hideMark/>
          </w:tcPr>
          <w:p w14:paraId="01654F7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 xml:space="preserve">90 </w:t>
            </w:r>
            <w:proofErr w:type="spellStart"/>
            <w:r>
              <w:rPr>
                <w:rFonts w:ascii="Arial" w:hAnsi="Arial" w:cs="Arial"/>
                <w:color w:val="000000"/>
                <w:sz w:val="18"/>
                <w:szCs w:val="18"/>
                <w:lang w:val="en-GB"/>
              </w:rPr>
              <w:t>deg</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26A5BEBA"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Handheld</w:t>
            </w:r>
          </w:p>
        </w:tc>
        <w:tc>
          <w:tcPr>
            <w:tcW w:w="1200" w:type="dxa"/>
            <w:tcBorders>
              <w:top w:val="nil"/>
              <w:left w:val="nil"/>
              <w:bottom w:val="single" w:sz="8" w:space="0" w:color="auto"/>
              <w:right w:val="single" w:sz="8" w:space="0" w:color="auto"/>
            </w:tcBorders>
            <w:shd w:val="clear" w:color="auto" w:fill="auto"/>
            <w:vAlign w:val="center"/>
            <w:hideMark/>
          </w:tcPr>
          <w:p w14:paraId="3F92B825"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S-band</w:t>
            </w:r>
          </w:p>
        </w:tc>
        <w:tc>
          <w:tcPr>
            <w:tcW w:w="1200" w:type="dxa"/>
            <w:tcBorders>
              <w:top w:val="nil"/>
              <w:left w:val="nil"/>
              <w:bottom w:val="single" w:sz="8" w:space="0" w:color="auto"/>
              <w:right w:val="single" w:sz="8" w:space="0" w:color="auto"/>
            </w:tcBorders>
            <w:shd w:val="clear" w:color="auto" w:fill="auto"/>
            <w:vAlign w:val="center"/>
            <w:hideMark/>
          </w:tcPr>
          <w:p w14:paraId="7AAF28D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Option 1</w:t>
            </w:r>
          </w:p>
        </w:tc>
      </w:tr>
      <w:tr w:rsidR="001635CB" w14:paraId="6982238C" w14:textId="77777777" w:rsidTr="00AD4088">
        <w:trPr>
          <w:trHeight w:val="300"/>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486F8B2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10</w:t>
            </w:r>
          </w:p>
        </w:tc>
        <w:tc>
          <w:tcPr>
            <w:tcW w:w="1200" w:type="dxa"/>
            <w:tcBorders>
              <w:top w:val="nil"/>
              <w:left w:val="nil"/>
              <w:bottom w:val="single" w:sz="8" w:space="0" w:color="auto"/>
              <w:right w:val="single" w:sz="8" w:space="0" w:color="auto"/>
            </w:tcBorders>
            <w:shd w:val="clear" w:color="auto" w:fill="auto"/>
            <w:vAlign w:val="center"/>
            <w:hideMark/>
          </w:tcPr>
          <w:p w14:paraId="7A3983B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LEO-600</w:t>
            </w:r>
          </w:p>
        </w:tc>
        <w:tc>
          <w:tcPr>
            <w:tcW w:w="1200" w:type="dxa"/>
            <w:tcBorders>
              <w:top w:val="nil"/>
              <w:left w:val="nil"/>
              <w:bottom w:val="single" w:sz="8" w:space="0" w:color="auto"/>
              <w:right w:val="single" w:sz="8" w:space="0" w:color="auto"/>
            </w:tcBorders>
            <w:shd w:val="clear" w:color="auto" w:fill="auto"/>
            <w:vAlign w:val="center"/>
            <w:hideMark/>
          </w:tcPr>
          <w:p w14:paraId="0B7E368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Set 1</w:t>
            </w:r>
          </w:p>
        </w:tc>
        <w:tc>
          <w:tcPr>
            <w:tcW w:w="1200" w:type="dxa"/>
            <w:tcBorders>
              <w:top w:val="nil"/>
              <w:left w:val="nil"/>
              <w:bottom w:val="single" w:sz="8" w:space="0" w:color="auto"/>
              <w:right w:val="single" w:sz="8" w:space="0" w:color="auto"/>
            </w:tcBorders>
            <w:shd w:val="clear" w:color="auto" w:fill="auto"/>
            <w:vAlign w:val="center"/>
            <w:hideMark/>
          </w:tcPr>
          <w:p w14:paraId="03FEC46B"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 xml:space="preserve">90 </w:t>
            </w:r>
            <w:proofErr w:type="spellStart"/>
            <w:r>
              <w:rPr>
                <w:rFonts w:ascii="Arial" w:hAnsi="Arial" w:cs="Arial"/>
                <w:color w:val="000000"/>
                <w:sz w:val="18"/>
                <w:szCs w:val="18"/>
                <w:lang w:val="en-GB"/>
              </w:rPr>
              <w:t>deg</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5FC1FB8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Handheld</w:t>
            </w:r>
          </w:p>
        </w:tc>
        <w:tc>
          <w:tcPr>
            <w:tcW w:w="1200" w:type="dxa"/>
            <w:tcBorders>
              <w:top w:val="nil"/>
              <w:left w:val="nil"/>
              <w:bottom w:val="single" w:sz="8" w:space="0" w:color="auto"/>
              <w:right w:val="single" w:sz="8" w:space="0" w:color="auto"/>
            </w:tcBorders>
            <w:shd w:val="clear" w:color="auto" w:fill="auto"/>
            <w:vAlign w:val="center"/>
            <w:hideMark/>
          </w:tcPr>
          <w:p w14:paraId="2FDAA4B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S-band</w:t>
            </w:r>
          </w:p>
        </w:tc>
        <w:tc>
          <w:tcPr>
            <w:tcW w:w="1200" w:type="dxa"/>
            <w:tcBorders>
              <w:top w:val="nil"/>
              <w:left w:val="nil"/>
              <w:bottom w:val="single" w:sz="8" w:space="0" w:color="auto"/>
              <w:right w:val="single" w:sz="8" w:space="0" w:color="auto"/>
            </w:tcBorders>
            <w:shd w:val="clear" w:color="auto" w:fill="auto"/>
            <w:vAlign w:val="center"/>
            <w:hideMark/>
          </w:tcPr>
          <w:p w14:paraId="71EE9975"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Option 2</w:t>
            </w:r>
          </w:p>
        </w:tc>
      </w:tr>
      <w:tr w:rsidR="001635CB" w14:paraId="0ED37CD2" w14:textId="77777777" w:rsidTr="00AD4088">
        <w:trPr>
          <w:trHeight w:val="300"/>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409AB06A"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24**</w:t>
            </w:r>
          </w:p>
        </w:tc>
        <w:tc>
          <w:tcPr>
            <w:tcW w:w="1200" w:type="dxa"/>
            <w:tcBorders>
              <w:top w:val="nil"/>
              <w:left w:val="nil"/>
              <w:bottom w:val="single" w:sz="8" w:space="0" w:color="auto"/>
              <w:right w:val="single" w:sz="8" w:space="0" w:color="auto"/>
            </w:tcBorders>
            <w:shd w:val="clear" w:color="auto" w:fill="auto"/>
            <w:vAlign w:val="center"/>
            <w:hideMark/>
          </w:tcPr>
          <w:p w14:paraId="096EA455"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LEO-600</w:t>
            </w:r>
          </w:p>
        </w:tc>
        <w:tc>
          <w:tcPr>
            <w:tcW w:w="1200" w:type="dxa"/>
            <w:tcBorders>
              <w:top w:val="nil"/>
              <w:left w:val="nil"/>
              <w:bottom w:val="single" w:sz="8" w:space="0" w:color="auto"/>
              <w:right w:val="single" w:sz="8" w:space="0" w:color="auto"/>
            </w:tcBorders>
            <w:shd w:val="clear" w:color="auto" w:fill="auto"/>
            <w:vAlign w:val="center"/>
            <w:hideMark/>
          </w:tcPr>
          <w:p w14:paraId="74A311D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Set 2</w:t>
            </w:r>
          </w:p>
        </w:tc>
        <w:tc>
          <w:tcPr>
            <w:tcW w:w="1200" w:type="dxa"/>
            <w:tcBorders>
              <w:top w:val="nil"/>
              <w:left w:val="nil"/>
              <w:bottom w:val="single" w:sz="8" w:space="0" w:color="auto"/>
              <w:right w:val="single" w:sz="8" w:space="0" w:color="auto"/>
            </w:tcBorders>
            <w:shd w:val="clear" w:color="auto" w:fill="auto"/>
            <w:vAlign w:val="center"/>
            <w:hideMark/>
          </w:tcPr>
          <w:p w14:paraId="2EF0517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 xml:space="preserve">90 </w:t>
            </w:r>
            <w:proofErr w:type="spellStart"/>
            <w:r>
              <w:rPr>
                <w:rFonts w:ascii="Arial" w:hAnsi="Arial" w:cs="Arial"/>
                <w:color w:val="000000"/>
                <w:sz w:val="18"/>
                <w:szCs w:val="18"/>
                <w:lang w:val="en-GB"/>
              </w:rPr>
              <w:t>deg</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54719BCB"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Handheld</w:t>
            </w:r>
          </w:p>
        </w:tc>
        <w:tc>
          <w:tcPr>
            <w:tcW w:w="1200" w:type="dxa"/>
            <w:tcBorders>
              <w:top w:val="nil"/>
              <w:left w:val="nil"/>
              <w:bottom w:val="single" w:sz="8" w:space="0" w:color="auto"/>
              <w:right w:val="single" w:sz="8" w:space="0" w:color="auto"/>
            </w:tcBorders>
            <w:shd w:val="clear" w:color="auto" w:fill="auto"/>
            <w:vAlign w:val="center"/>
            <w:hideMark/>
          </w:tcPr>
          <w:p w14:paraId="25728D9E"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S-band</w:t>
            </w:r>
          </w:p>
        </w:tc>
        <w:tc>
          <w:tcPr>
            <w:tcW w:w="1200" w:type="dxa"/>
            <w:tcBorders>
              <w:top w:val="nil"/>
              <w:left w:val="nil"/>
              <w:bottom w:val="single" w:sz="8" w:space="0" w:color="auto"/>
              <w:right w:val="single" w:sz="8" w:space="0" w:color="auto"/>
            </w:tcBorders>
            <w:shd w:val="clear" w:color="auto" w:fill="auto"/>
            <w:vAlign w:val="center"/>
            <w:hideMark/>
          </w:tcPr>
          <w:p w14:paraId="36AFBC31"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Option 1</w:t>
            </w:r>
          </w:p>
        </w:tc>
      </w:tr>
      <w:tr w:rsidR="001635CB" w14:paraId="1F5BB2AF" w14:textId="77777777" w:rsidTr="00AD4088">
        <w:trPr>
          <w:trHeight w:val="300"/>
          <w:jc w:val="center"/>
        </w:trPr>
        <w:tc>
          <w:tcPr>
            <w:tcW w:w="1200" w:type="dxa"/>
            <w:tcBorders>
              <w:top w:val="nil"/>
              <w:left w:val="single" w:sz="8" w:space="0" w:color="auto"/>
              <w:bottom w:val="single" w:sz="8" w:space="0" w:color="auto"/>
              <w:right w:val="single" w:sz="8" w:space="0" w:color="auto"/>
            </w:tcBorders>
            <w:shd w:val="clear" w:color="auto" w:fill="auto"/>
            <w:vAlign w:val="center"/>
            <w:hideMark/>
          </w:tcPr>
          <w:p w14:paraId="62682FA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25**</w:t>
            </w:r>
          </w:p>
        </w:tc>
        <w:tc>
          <w:tcPr>
            <w:tcW w:w="1200" w:type="dxa"/>
            <w:tcBorders>
              <w:top w:val="nil"/>
              <w:left w:val="nil"/>
              <w:bottom w:val="single" w:sz="8" w:space="0" w:color="auto"/>
              <w:right w:val="single" w:sz="8" w:space="0" w:color="auto"/>
            </w:tcBorders>
            <w:shd w:val="clear" w:color="auto" w:fill="auto"/>
            <w:vAlign w:val="center"/>
            <w:hideMark/>
          </w:tcPr>
          <w:p w14:paraId="51F9B9D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LEO-600</w:t>
            </w:r>
          </w:p>
        </w:tc>
        <w:tc>
          <w:tcPr>
            <w:tcW w:w="1200" w:type="dxa"/>
            <w:tcBorders>
              <w:top w:val="nil"/>
              <w:left w:val="nil"/>
              <w:bottom w:val="single" w:sz="8" w:space="0" w:color="auto"/>
              <w:right w:val="single" w:sz="8" w:space="0" w:color="auto"/>
            </w:tcBorders>
            <w:shd w:val="clear" w:color="auto" w:fill="auto"/>
            <w:vAlign w:val="center"/>
            <w:hideMark/>
          </w:tcPr>
          <w:p w14:paraId="745B5D9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Set 2</w:t>
            </w:r>
          </w:p>
        </w:tc>
        <w:tc>
          <w:tcPr>
            <w:tcW w:w="1200" w:type="dxa"/>
            <w:tcBorders>
              <w:top w:val="nil"/>
              <w:left w:val="nil"/>
              <w:bottom w:val="single" w:sz="8" w:space="0" w:color="auto"/>
              <w:right w:val="single" w:sz="8" w:space="0" w:color="auto"/>
            </w:tcBorders>
            <w:shd w:val="clear" w:color="auto" w:fill="auto"/>
            <w:vAlign w:val="center"/>
            <w:hideMark/>
          </w:tcPr>
          <w:p w14:paraId="70219C8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 xml:space="preserve">90 </w:t>
            </w:r>
            <w:proofErr w:type="spellStart"/>
            <w:r>
              <w:rPr>
                <w:rFonts w:ascii="Arial" w:hAnsi="Arial" w:cs="Arial"/>
                <w:color w:val="000000"/>
                <w:sz w:val="18"/>
                <w:szCs w:val="18"/>
                <w:lang w:val="en-GB"/>
              </w:rPr>
              <w:t>deg</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547ED5D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Handheld</w:t>
            </w:r>
          </w:p>
        </w:tc>
        <w:tc>
          <w:tcPr>
            <w:tcW w:w="1200" w:type="dxa"/>
            <w:tcBorders>
              <w:top w:val="nil"/>
              <w:left w:val="nil"/>
              <w:bottom w:val="single" w:sz="8" w:space="0" w:color="auto"/>
              <w:right w:val="single" w:sz="8" w:space="0" w:color="auto"/>
            </w:tcBorders>
            <w:shd w:val="clear" w:color="auto" w:fill="auto"/>
            <w:vAlign w:val="center"/>
            <w:hideMark/>
          </w:tcPr>
          <w:p w14:paraId="20DF4BA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S-band</w:t>
            </w:r>
          </w:p>
        </w:tc>
        <w:tc>
          <w:tcPr>
            <w:tcW w:w="1200" w:type="dxa"/>
            <w:tcBorders>
              <w:top w:val="nil"/>
              <w:left w:val="nil"/>
              <w:bottom w:val="single" w:sz="8" w:space="0" w:color="auto"/>
              <w:right w:val="single" w:sz="8" w:space="0" w:color="auto"/>
            </w:tcBorders>
            <w:shd w:val="clear" w:color="auto" w:fill="auto"/>
            <w:vAlign w:val="center"/>
            <w:hideMark/>
          </w:tcPr>
          <w:p w14:paraId="3165899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Option 2</w:t>
            </w:r>
          </w:p>
        </w:tc>
      </w:tr>
    </w:tbl>
    <w:p w14:paraId="1BE294BB" w14:textId="77777777" w:rsidR="001635CB" w:rsidRDefault="001635CB" w:rsidP="001635CB">
      <w:pPr>
        <w:rPr>
          <w:lang w:val="en-US"/>
        </w:rPr>
      </w:pPr>
    </w:p>
    <w:p w14:paraId="5E708367" w14:textId="77777777" w:rsidR="001635CB" w:rsidRDefault="001635CB" w:rsidP="001635CB">
      <w:pPr>
        <w:rPr>
          <w:lang w:val="en-US"/>
        </w:rPr>
      </w:pPr>
      <w:r>
        <w:rPr>
          <w:lang w:val="en-US"/>
        </w:rPr>
        <w:t>And from table 6.1.3.3-1 in [2], we have:</w:t>
      </w:r>
    </w:p>
    <w:p w14:paraId="1D6DEC79" w14:textId="77777777" w:rsidR="001635CB" w:rsidRDefault="001635CB" w:rsidP="001635CB">
      <w:pPr>
        <w:rPr>
          <w:lang w:val="en-US"/>
        </w:rPr>
      </w:pPr>
    </w:p>
    <w:tbl>
      <w:tblPr>
        <w:tblW w:w="5000" w:type="pct"/>
        <w:tblCellMar>
          <w:left w:w="70" w:type="dxa"/>
          <w:right w:w="70" w:type="dxa"/>
        </w:tblCellMar>
        <w:tblLook w:val="04A0" w:firstRow="1" w:lastRow="0" w:firstColumn="1" w:lastColumn="0" w:noHBand="0" w:noVBand="1"/>
      </w:tblPr>
      <w:tblGrid>
        <w:gridCol w:w="639"/>
        <w:gridCol w:w="1018"/>
        <w:gridCol w:w="915"/>
        <w:gridCol w:w="1440"/>
        <w:gridCol w:w="1440"/>
        <w:gridCol w:w="512"/>
        <w:gridCol w:w="591"/>
        <w:gridCol w:w="512"/>
        <w:gridCol w:w="512"/>
        <w:gridCol w:w="512"/>
        <w:gridCol w:w="512"/>
        <w:gridCol w:w="512"/>
        <w:gridCol w:w="504"/>
      </w:tblGrid>
      <w:tr w:rsidR="001635CB" w14:paraId="0412A39E" w14:textId="77777777" w:rsidTr="00AD4088">
        <w:trPr>
          <w:trHeight w:val="1406"/>
        </w:trPr>
        <w:tc>
          <w:tcPr>
            <w:tcW w:w="336" w:type="pct"/>
            <w:tcBorders>
              <w:top w:val="single" w:sz="8" w:space="0" w:color="auto"/>
              <w:left w:val="single" w:sz="8" w:space="0" w:color="auto"/>
              <w:bottom w:val="single" w:sz="8" w:space="0" w:color="auto"/>
              <w:right w:val="single" w:sz="8" w:space="0" w:color="auto"/>
            </w:tcBorders>
            <w:shd w:val="clear" w:color="auto" w:fill="auto"/>
            <w:noWrap/>
            <w:textDirection w:val="btLr"/>
            <w:vAlign w:val="center"/>
            <w:hideMark/>
          </w:tcPr>
          <w:p w14:paraId="1D15A092"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Case</w:t>
            </w:r>
          </w:p>
        </w:tc>
        <w:tc>
          <w:tcPr>
            <w:tcW w:w="533"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61BDC6DF"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Transmission mode</w:t>
            </w:r>
          </w:p>
        </w:tc>
        <w:tc>
          <w:tcPr>
            <w:tcW w:w="47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48833DF1"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Frequency [GHz]</w:t>
            </w:r>
          </w:p>
        </w:tc>
        <w:tc>
          <w:tcPr>
            <w:tcW w:w="752"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6DEC13B9"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TX: EIRP [dBm]</w:t>
            </w:r>
          </w:p>
        </w:tc>
        <w:tc>
          <w:tcPr>
            <w:tcW w:w="752"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14BDA3DC"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RX: G/T [dB/T]</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4A43E7F1"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Bandwidth [MHz]</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2A25EB28" w14:textId="77777777" w:rsidR="001635CB" w:rsidRPr="00861F6A" w:rsidRDefault="001635CB" w:rsidP="00AD4088">
            <w:pPr>
              <w:jc w:val="center"/>
              <w:rPr>
                <w:rFonts w:ascii="Arial" w:hAnsi="Arial" w:cs="Arial"/>
                <w:b/>
                <w:bCs/>
                <w:color w:val="000000"/>
                <w:sz w:val="18"/>
                <w:szCs w:val="18"/>
                <w:lang w:val="en-US"/>
              </w:rPr>
            </w:pPr>
            <w:r>
              <w:rPr>
                <w:rFonts w:ascii="Arial" w:hAnsi="Arial" w:cs="Arial"/>
                <w:b/>
                <w:bCs/>
                <w:color w:val="000000"/>
                <w:sz w:val="18"/>
                <w:szCs w:val="18"/>
                <w:lang w:val="en-GB"/>
              </w:rPr>
              <w:t>Free space path loss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0BBB38DF"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Atmospheric loss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28818699"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Shadow fading margin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0C156F48"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Scintillation Loss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2D5ACC83"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Polarization loss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0F648FA4"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Additional losses [dB]</w:t>
            </w:r>
          </w:p>
        </w:tc>
        <w:tc>
          <w:tcPr>
            <w:tcW w:w="269" w:type="pct"/>
            <w:tcBorders>
              <w:top w:val="single" w:sz="8" w:space="0" w:color="auto"/>
              <w:left w:val="nil"/>
              <w:bottom w:val="single" w:sz="8" w:space="0" w:color="auto"/>
              <w:right w:val="single" w:sz="8" w:space="0" w:color="auto"/>
            </w:tcBorders>
            <w:shd w:val="clear" w:color="auto" w:fill="auto"/>
            <w:noWrap/>
            <w:textDirection w:val="btLr"/>
            <w:vAlign w:val="center"/>
            <w:hideMark/>
          </w:tcPr>
          <w:p w14:paraId="1FE73616"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CNR [dB]</w:t>
            </w:r>
          </w:p>
        </w:tc>
      </w:tr>
      <w:tr w:rsidR="001635CB" w14:paraId="7D1F7D86" w14:textId="77777777" w:rsidTr="00AD4088">
        <w:trPr>
          <w:trHeight w:val="300"/>
        </w:trPr>
        <w:tc>
          <w:tcPr>
            <w:tcW w:w="336" w:type="pct"/>
            <w:tcBorders>
              <w:top w:val="nil"/>
              <w:left w:val="single" w:sz="8" w:space="0" w:color="auto"/>
              <w:bottom w:val="single" w:sz="8" w:space="0" w:color="auto"/>
              <w:right w:val="single" w:sz="8" w:space="0" w:color="auto"/>
            </w:tcBorders>
            <w:shd w:val="clear" w:color="auto" w:fill="auto"/>
            <w:noWrap/>
            <w:vAlign w:val="center"/>
            <w:hideMark/>
          </w:tcPr>
          <w:p w14:paraId="5A1B8BA9"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SC9</w:t>
            </w:r>
          </w:p>
        </w:tc>
        <w:tc>
          <w:tcPr>
            <w:tcW w:w="533" w:type="pct"/>
            <w:tcBorders>
              <w:top w:val="nil"/>
              <w:left w:val="nil"/>
              <w:bottom w:val="single" w:sz="8" w:space="0" w:color="auto"/>
              <w:right w:val="single" w:sz="8" w:space="0" w:color="auto"/>
            </w:tcBorders>
            <w:shd w:val="clear" w:color="auto" w:fill="auto"/>
            <w:noWrap/>
            <w:vAlign w:val="center"/>
            <w:hideMark/>
          </w:tcPr>
          <w:p w14:paraId="6DC9B320"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DL</w:t>
            </w:r>
          </w:p>
        </w:tc>
        <w:tc>
          <w:tcPr>
            <w:tcW w:w="479" w:type="pct"/>
            <w:tcBorders>
              <w:top w:val="nil"/>
              <w:left w:val="nil"/>
              <w:bottom w:val="single" w:sz="8" w:space="0" w:color="auto"/>
              <w:right w:val="single" w:sz="8" w:space="0" w:color="auto"/>
            </w:tcBorders>
            <w:shd w:val="clear" w:color="auto" w:fill="auto"/>
            <w:noWrap/>
            <w:vAlign w:val="center"/>
            <w:hideMark/>
          </w:tcPr>
          <w:p w14:paraId="6DE9BF91"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2.0</w:t>
            </w:r>
          </w:p>
        </w:tc>
        <w:tc>
          <w:tcPr>
            <w:tcW w:w="752" w:type="pct"/>
            <w:tcBorders>
              <w:top w:val="nil"/>
              <w:left w:val="nil"/>
              <w:bottom w:val="single" w:sz="8" w:space="0" w:color="auto"/>
              <w:right w:val="single" w:sz="8" w:space="0" w:color="auto"/>
            </w:tcBorders>
            <w:shd w:val="clear" w:color="auto" w:fill="auto"/>
            <w:noWrap/>
            <w:vAlign w:val="center"/>
            <w:hideMark/>
          </w:tcPr>
          <w:p w14:paraId="3B672213"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78.8</w:t>
            </w:r>
          </w:p>
        </w:tc>
        <w:tc>
          <w:tcPr>
            <w:tcW w:w="752" w:type="pct"/>
            <w:tcBorders>
              <w:top w:val="nil"/>
              <w:left w:val="nil"/>
              <w:bottom w:val="single" w:sz="8" w:space="0" w:color="auto"/>
              <w:right w:val="single" w:sz="8" w:space="0" w:color="auto"/>
            </w:tcBorders>
            <w:shd w:val="clear" w:color="auto" w:fill="auto"/>
            <w:noWrap/>
            <w:vAlign w:val="center"/>
            <w:hideMark/>
          </w:tcPr>
          <w:p w14:paraId="7E930B3D"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-31.6</w:t>
            </w:r>
          </w:p>
        </w:tc>
        <w:tc>
          <w:tcPr>
            <w:tcW w:w="269" w:type="pct"/>
            <w:tcBorders>
              <w:top w:val="nil"/>
              <w:left w:val="nil"/>
              <w:bottom w:val="single" w:sz="8" w:space="0" w:color="auto"/>
              <w:right w:val="single" w:sz="8" w:space="0" w:color="auto"/>
            </w:tcBorders>
            <w:shd w:val="clear" w:color="auto" w:fill="auto"/>
            <w:noWrap/>
            <w:vAlign w:val="center"/>
            <w:hideMark/>
          </w:tcPr>
          <w:p w14:paraId="6A23294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30.0</w:t>
            </w:r>
          </w:p>
        </w:tc>
        <w:tc>
          <w:tcPr>
            <w:tcW w:w="269" w:type="pct"/>
            <w:tcBorders>
              <w:top w:val="nil"/>
              <w:left w:val="nil"/>
              <w:bottom w:val="single" w:sz="8" w:space="0" w:color="auto"/>
              <w:right w:val="single" w:sz="8" w:space="0" w:color="auto"/>
            </w:tcBorders>
            <w:shd w:val="clear" w:color="auto" w:fill="auto"/>
            <w:noWrap/>
            <w:vAlign w:val="center"/>
            <w:hideMark/>
          </w:tcPr>
          <w:p w14:paraId="61F38E63"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159.1</w:t>
            </w:r>
          </w:p>
        </w:tc>
        <w:tc>
          <w:tcPr>
            <w:tcW w:w="269" w:type="pct"/>
            <w:tcBorders>
              <w:top w:val="nil"/>
              <w:left w:val="nil"/>
              <w:bottom w:val="single" w:sz="8" w:space="0" w:color="auto"/>
              <w:right w:val="single" w:sz="8" w:space="0" w:color="auto"/>
            </w:tcBorders>
            <w:shd w:val="clear" w:color="auto" w:fill="auto"/>
            <w:noWrap/>
            <w:vAlign w:val="center"/>
            <w:hideMark/>
          </w:tcPr>
          <w:p w14:paraId="57AA66FF"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0.1</w:t>
            </w:r>
          </w:p>
        </w:tc>
        <w:tc>
          <w:tcPr>
            <w:tcW w:w="269" w:type="pct"/>
            <w:tcBorders>
              <w:top w:val="nil"/>
              <w:left w:val="nil"/>
              <w:bottom w:val="single" w:sz="8" w:space="0" w:color="auto"/>
              <w:right w:val="single" w:sz="8" w:space="0" w:color="auto"/>
            </w:tcBorders>
            <w:shd w:val="clear" w:color="auto" w:fill="auto"/>
            <w:noWrap/>
            <w:vAlign w:val="center"/>
            <w:hideMark/>
          </w:tcPr>
          <w:p w14:paraId="3F3E283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w:t>
            </w:r>
          </w:p>
        </w:tc>
        <w:tc>
          <w:tcPr>
            <w:tcW w:w="269" w:type="pct"/>
            <w:tcBorders>
              <w:top w:val="nil"/>
              <w:left w:val="nil"/>
              <w:bottom w:val="single" w:sz="8" w:space="0" w:color="auto"/>
              <w:right w:val="single" w:sz="8" w:space="0" w:color="auto"/>
            </w:tcBorders>
            <w:shd w:val="clear" w:color="auto" w:fill="auto"/>
            <w:noWrap/>
            <w:vAlign w:val="center"/>
            <w:hideMark/>
          </w:tcPr>
          <w:p w14:paraId="4E99AF2E"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2.2</w:t>
            </w:r>
          </w:p>
        </w:tc>
        <w:tc>
          <w:tcPr>
            <w:tcW w:w="269" w:type="pct"/>
            <w:tcBorders>
              <w:top w:val="nil"/>
              <w:left w:val="nil"/>
              <w:bottom w:val="single" w:sz="8" w:space="0" w:color="auto"/>
              <w:right w:val="single" w:sz="8" w:space="0" w:color="auto"/>
            </w:tcBorders>
            <w:shd w:val="clear" w:color="auto" w:fill="auto"/>
            <w:noWrap/>
            <w:vAlign w:val="center"/>
            <w:hideMark/>
          </w:tcPr>
          <w:p w14:paraId="78E2527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1D81DE5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1A3BA46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6.6</w:t>
            </w:r>
          </w:p>
        </w:tc>
      </w:tr>
      <w:tr w:rsidR="001635CB" w14:paraId="587B339A" w14:textId="77777777" w:rsidTr="00AD4088">
        <w:trPr>
          <w:trHeight w:val="300"/>
        </w:trPr>
        <w:tc>
          <w:tcPr>
            <w:tcW w:w="336" w:type="pct"/>
            <w:tcBorders>
              <w:top w:val="nil"/>
              <w:left w:val="single" w:sz="8" w:space="0" w:color="auto"/>
              <w:bottom w:val="single" w:sz="8" w:space="0" w:color="auto"/>
              <w:right w:val="single" w:sz="8" w:space="0" w:color="auto"/>
            </w:tcBorders>
            <w:shd w:val="clear" w:color="auto" w:fill="auto"/>
            <w:noWrap/>
            <w:vAlign w:val="center"/>
            <w:hideMark/>
          </w:tcPr>
          <w:p w14:paraId="3C1F8A05"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SC10</w:t>
            </w:r>
          </w:p>
        </w:tc>
        <w:tc>
          <w:tcPr>
            <w:tcW w:w="533" w:type="pct"/>
            <w:tcBorders>
              <w:top w:val="nil"/>
              <w:left w:val="nil"/>
              <w:bottom w:val="single" w:sz="8" w:space="0" w:color="auto"/>
              <w:right w:val="single" w:sz="8" w:space="0" w:color="auto"/>
            </w:tcBorders>
            <w:shd w:val="clear" w:color="auto" w:fill="auto"/>
            <w:noWrap/>
            <w:vAlign w:val="center"/>
            <w:hideMark/>
          </w:tcPr>
          <w:p w14:paraId="20FEC3E6"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DL</w:t>
            </w:r>
          </w:p>
        </w:tc>
        <w:tc>
          <w:tcPr>
            <w:tcW w:w="479" w:type="pct"/>
            <w:tcBorders>
              <w:top w:val="nil"/>
              <w:left w:val="nil"/>
              <w:bottom w:val="single" w:sz="8" w:space="0" w:color="auto"/>
              <w:right w:val="single" w:sz="8" w:space="0" w:color="auto"/>
            </w:tcBorders>
            <w:shd w:val="clear" w:color="auto" w:fill="auto"/>
            <w:noWrap/>
            <w:vAlign w:val="center"/>
            <w:hideMark/>
          </w:tcPr>
          <w:p w14:paraId="68AE1F7A"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2.0</w:t>
            </w:r>
          </w:p>
        </w:tc>
        <w:tc>
          <w:tcPr>
            <w:tcW w:w="752" w:type="pct"/>
            <w:tcBorders>
              <w:top w:val="nil"/>
              <w:left w:val="nil"/>
              <w:bottom w:val="single" w:sz="8" w:space="0" w:color="auto"/>
              <w:right w:val="single" w:sz="8" w:space="0" w:color="auto"/>
            </w:tcBorders>
            <w:shd w:val="clear" w:color="auto" w:fill="auto"/>
            <w:noWrap/>
            <w:vAlign w:val="center"/>
            <w:hideMark/>
          </w:tcPr>
          <w:p w14:paraId="7AFA6BC0"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74.0</w:t>
            </w:r>
          </w:p>
        </w:tc>
        <w:tc>
          <w:tcPr>
            <w:tcW w:w="752" w:type="pct"/>
            <w:tcBorders>
              <w:top w:val="nil"/>
              <w:left w:val="nil"/>
              <w:bottom w:val="single" w:sz="8" w:space="0" w:color="auto"/>
              <w:right w:val="single" w:sz="8" w:space="0" w:color="auto"/>
            </w:tcBorders>
            <w:shd w:val="clear" w:color="auto" w:fill="auto"/>
            <w:noWrap/>
            <w:vAlign w:val="center"/>
            <w:hideMark/>
          </w:tcPr>
          <w:p w14:paraId="74049C2F"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-31.6</w:t>
            </w:r>
          </w:p>
        </w:tc>
        <w:tc>
          <w:tcPr>
            <w:tcW w:w="269" w:type="pct"/>
            <w:tcBorders>
              <w:top w:val="nil"/>
              <w:left w:val="nil"/>
              <w:bottom w:val="single" w:sz="8" w:space="0" w:color="auto"/>
              <w:right w:val="single" w:sz="8" w:space="0" w:color="auto"/>
            </w:tcBorders>
            <w:shd w:val="clear" w:color="auto" w:fill="auto"/>
            <w:noWrap/>
            <w:vAlign w:val="center"/>
            <w:hideMark/>
          </w:tcPr>
          <w:p w14:paraId="6FE8A59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10.0</w:t>
            </w:r>
          </w:p>
        </w:tc>
        <w:tc>
          <w:tcPr>
            <w:tcW w:w="269" w:type="pct"/>
            <w:tcBorders>
              <w:top w:val="nil"/>
              <w:left w:val="nil"/>
              <w:bottom w:val="single" w:sz="8" w:space="0" w:color="auto"/>
              <w:right w:val="single" w:sz="8" w:space="0" w:color="auto"/>
            </w:tcBorders>
            <w:shd w:val="clear" w:color="auto" w:fill="auto"/>
            <w:noWrap/>
            <w:vAlign w:val="center"/>
            <w:hideMark/>
          </w:tcPr>
          <w:p w14:paraId="4B258F0F"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159.1</w:t>
            </w:r>
          </w:p>
        </w:tc>
        <w:tc>
          <w:tcPr>
            <w:tcW w:w="269" w:type="pct"/>
            <w:tcBorders>
              <w:top w:val="nil"/>
              <w:left w:val="nil"/>
              <w:bottom w:val="single" w:sz="8" w:space="0" w:color="auto"/>
              <w:right w:val="single" w:sz="8" w:space="0" w:color="auto"/>
            </w:tcBorders>
            <w:shd w:val="clear" w:color="auto" w:fill="auto"/>
            <w:noWrap/>
            <w:vAlign w:val="center"/>
            <w:hideMark/>
          </w:tcPr>
          <w:p w14:paraId="7AEE205E"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0.1</w:t>
            </w:r>
          </w:p>
        </w:tc>
        <w:tc>
          <w:tcPr>
            <w:tcW w:w="269" w:type="pct"/>
            <w:tcBorders>
              <w:top w:val="nil"/>
              <w:left w:val="nil"/>
              <w:bottom w:val="single" w:sz="8" w:space="0" w:color="auto"/>
              <w:right w:val="single" w:sz="8" w:space="0" w:color="auto"/>
            </w:tcBorders>
            <w:shd w:val="clear" w:color="auto" w:fill="auto"/>
            <w:noWrap/>
            <w:vAlign w:val="center"/>
            <w:hideMark/>
          </w:tcPr>
          <w:p w14:paraId="1C5CA1E6"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w:t>
            </w:r>
          </w:p>
        </w:tc>
        <w:tc>
          <w:tcPr>
            <w:tcW w:w="269" w:type="pct"/>
            <w:tcBorders>
              <w:top w:val="nil"/>
              <w:left w:val="nil"/>
              <w:bottom w:val="single" w:sz="8" w:space="0" w:color="auto"/>
              <w:right w:val="single" w:sz="8" w:space="0" w:color="auto"/>
            </w:tcBorders>
            <w:shd w:val="clear" w:color="auto" w:fill="auto"/>
            <w:noWrap/>
            <w:vAlign w:val="center"/>
            <w:hideMark/>
          </w:tcPr>
          <w:p w14:paraId="28BBAFD3"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2.2</w:t>
            </w:r>
          </w:p>
        </w:tc>
        <w:tc>
          <w:tcPr>
            <w:tcW w:w="269" w:type="pct"/>
            <w:tcBorders>
              <w:top w:val="nil"/>
              <w:left w:val="nil"/>
              <w:bottom w:val="single" w:sz="8" w:space="0" w:color="auto"/>
              <w:right w:val="single" w:sz="8" w:space="0" w:color="auto"/>
            </w:tcBorders>
            <w:shd w:val="clear" w:color="auto" w:fill="auto"/>
            <w:noWrap/>
            <w:vAlign w:val="center"/>
            <w:hideMark/>
          </w:tcPr>
          <w:p w14:paraId="4354FF21"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2ECC67C9"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72B658D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6.6</w:t>
            </w:r>
          </w:p>
        </w:tc>
      </w:tr>
      <w:tr w:rsidR="001635CB" w14:paraId="55E97A2F" w14:textId="77777777" w:rsidTr="00AD4088">
        <w:trPr>
          <w:trHeight w:val="300"/>
        </w:trPr>
        <w:tc>
          <w:tcPr>
            <w:tcW w:w="336" w:type="pct"/>
            <w:tcBorders>
              <w:top w:val="nil"/>
              <w:left w:val="single" w:sz="8" w:space="0" w:color="auto"/>
              <w:bottom w:val="single" w:sz="8" w:space="0" w:color="auto"/>
              <w:right w:val="single" w:sz="8" w:space="0" w:color="auto"/>
            </w:tcBorders>
            <w:shd w:val="clear" w:color="auto" w:fill="auto"/>
            <w:noWrap/>
            <w:vAlign w:val="center"/>
            <w:hideMark/>
          </w:tcPr>
          <w:p w14:paraId="097792C2"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SC24</w:t>
            </w:r>
          </w:p>
        </w:tc>
        <w:tc>
          <w:tcPr>
            <w:tcW w:w="533" w:type="pct"/>
            <w:tcBorders>
              <w:top w:val="nil"/>
              <w:left w:val="nil"/>
              <w:bottom w:val="single" w:sz="8" w:space="0" w:color="auto"/>
              <w:right w:val="single" w:sz="8" w:space="0" w:color="auto"/>
            </w:tcBorders>
            <w:shd w:val="clear" w:color="auto" w:fill="auto"/>
            <w:noWrap/>
            <w:vAlign w:val="center"/>
            <w:hideMark/>
          </w:tcPr>
          <w:p w14:paraId="4B45E0F6"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DL</w:t>
            </w:r>
          </w:p>
        </w:tc>
        <w:tc>
          <w:tcPr>
            <w:tcW w:w="479" w:type="pct"/>
            <w:tcBorders>
              <w:top w:val="nil"/>
              <w:left w:val="nil"/>
              <w:bottom w:val="single" w:sz="8" w:space="0" w:color="auto"/>
              <w:right w:val="single" w:sz="8" w:space="0" w:color="auto"/>
            </w:tcBorders>
            <w:shd w:val="clear" w:color="auto" w:fill="auto"/>
            <w:noWrap/>
            <w:vAlign w:val="center"/>
            <w:hideMark/>
          </w:tcPr>
          <w:p w14:paraId="52D417F4"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2.0</w:t>
            </w:r>
          </w:p>
        </w:tc>
        <w:tc>
          <w:tcPr>
            <w:tcW w:w="752" w:type="pct"/>
            <w:tcBorders>
              <w:top w:val="nil"/>
              <w:left w:val="nil"/>
              <w:bottom w:val="single" w:sz="8" w:space="0" w:color="auto"/>
              <w:right w:val="single" w:sz="8" w:space="0" w:color="auto"/>
            </w:tcBorders>
            <w:shd w:val="clear" w:color="auto" w:fill="auto"/>
            <w:noWrap/>
            <w:vAlign w:val="center"/>
            <w:hideMark/>
          </w:tcPr>
          <w:p w14:paraId="2DA7DCA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72.8</w:t>
            </w:r>
          </w:p>
        </w:tc>
        <w:tc>
          <w:tcPr>
            <w:tcW w:w="752" w:type="pct"/>
            <w:tcBorders>
              <w:top w:val="nil"/>
              <w:left w:val="nil"/>
              <w:bottom w:val="single" w:sz="8" w:space="0" w:color="auto"/>
              <w:right w:val="single" w:sz="8" w:space="0" w:color="auto"/>
            </w:tcBorders>
            <w:shd w:val="clear" w:color="auto" w:fill="auto"/>
            <w:noWrap/>
            <w:vAlign w:val="center"/>
            <w:hideMark/>
          </w:tcPr>
          <w:p w14:paraId="1BC80965"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-31.6</w:t>
            </w:r>
          </w:p>
        </w:tc>
        <w:tc>
          <w:tcPr>
            <w:tcW w:w="269" w:type="pct"/>
            <w:tcBorders>
              <w:top w:val="nil"/>
              <w:left w:val="nil"/>
              <w:bottom w:val="single" w:sz="8" w:space="0" w:color="auto"/>
              <w:right w:val="single" w:sz="8" w:space="0" w:color="auto"/>
            </w:tcBorders>
            <w:shd w:val="clear" w:color="auto" w:fill="auto"/>
            <w:noWrap/>
            <w:vAlign w:val="center"/>
            <w:hideMark/>
          </w:tcPr>
          <w:p w14:paraId="641D39A9"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30.0</w:t>
            </w:r>
          </w:p>
        </w:tc>
        <w:tc>
          <w:tcPr>
            <w:tcW w:w="269" w:type="pct"/>
            <w:tcBorders>
              <w:top w:val="nil"/>
              <w:left w:val="nil"/>
              <w:bottom w:val="single" w:sz="8" w:space="0" w:color="auto"/>
              <w:right w:val="single" w:sz="8" w:space="0" w:color="auto"/>
            </w:tcBorders>
            <w:shd w:val="clear" w:color="auto" w:fill="auto"/>
            <w:noWrap/>
            <w:vAlign w:val="center"/>
            <w:hideMark/>
          </w:tcPr>
          <w:p w14:paraId="5039FDA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159.1</w:t>
            </w:r>
          </w:p>
        </w:tc>
        <w:tc>
          <w:tcPr>
            <w:tcW w:w="269" w:type="pct"/>
            <w:tcBorders>
              <w:top w:val="nil"/>
              <w:left w:val="nil"/>
              <w:bottom w:val="single" w:sz="8" w:space="0" w:color="auto"/>
              <w:right w:val="single" w:sz="8" w:space="0" w:color="auto"/>
            </w:tcBorders>
            <w:shd w:val="clear" w:color="auto" w:fill="auto"/>
            <w:noWrap/>
            <w:vAlign w:val="center"/>
            <w:hideMark/>
          </w:tcPr>
          <w:p w14:paraId="5BC4FA2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0.1</w:t>
            </w:r>
          </w:p>
        </w:tc>
        <w:tc>
          <w:tcPr>
            <w:tcW w:w="269" w:type="pct"/>
            <w:tcBorders>
              <w:top w:val="nil"/>
              <w:left w:val="nil"/>
              <w:bottom w:val="single" w:sz="8" w:space="0" w:color="auto"/>
              <w:right w:val="single" w:sz="8" w:space="0" w:color="auto"/>
            </w:tcBorders>
            <w:shd w:val="clear" w:color="auto" w:fill="auto"/>
            <w:noWrap/>
            <w:vAlign w:val="center"/>
            <w:hideMark/>
          </w:tcPr>
          <w:p w14:paraId="2EBCDDF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w:t>
            </w:r>
          </w:p>
        </w:tc>
        <w:tc>
          <w:tcPr>
            <w:tcW w:w="269" w:type="pct"/>
            <w:tcBorders>
              <w:top w:val="nil"/>
              <w:left w:val="nil"/>
              <w:bottom w:val="single" w:sz="8" w:space="0" w:color="auto"/>
              <w:right w:val="single" w:sz="8" w:space="0" w:color="auto"/>
            </w:tcBorders>
            <w:shd w:val="clear" w:color="auto" w:fill="auto"/>
            <w:noWrap/>
            <w:vAlign w:val="center"/>
            <w:hideMark/>
          </w:tcPr>
          <w:p w14:paraId="1E9C30FD"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2.2</w:t>
            </w:r>
          </w:p>
        </w:tc>
        <w:tc>
          <w:tcPr>
            <w:tcW w:w="269" w:type="pct"/>
            <w:tcBorders>
              <w:top w:val="nil"/>
              <w:left w:val="nil"/>
              <w:bottom w:val="single" w:sz="8" w:space="0" w:color="auto"/>
              <w:right w:val="single" w:sz="8" w:space="0" w:color="auto"/>
            </w:tcBorders>
            <w:shd w:val="clear" w:color="auto" w:fill="auto"/>
            <w:noWrap/>
            <w:vAlign w:val="center"/>
            <w:hideMark/>
          </w:tcPr>
          <w:p w14:paraId="69100EB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28121E50"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5A2198A3"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0.6</w:t>
            </w:r>
          </w:p>
        </w:tc>
      </w:tr>
      <w:tr w:rsidR="001635CB" w14:paraId="3C89C870" w14:textId="77777777" w:rsidTr="00AD4088">
        <w:trPr>
          <w:trHeight w:val="300"/>
        </w:trPr>
        <w:tc>
          <w:tcPr>
            <w:tcW w:w="336" w:type="pct"/>
            <w:tcBorders>
              <w:top w:val="nil"/>
              <w:left w:val="single" w:sz="8" w:space="0" w:color="auto"/>
              <w:bottom w:val="single" w:sz="8" w:space="0" w:color="auto"/>
              <w:right w:val="single" w:sz="8" w:space="0" w:color="auto"/>
            </w:tcBorders>
            <w:shd w:val="clear" w:color="auto" w:fill="auto"/>
            <w:noWrap/>
            <w:vAlign w:val="center"/>
            <w:hideMark/>
          </w:tcPr>
          <w:p w14:paraId="79013629" w14:textId="77777777" w:rsidR="001635CB" w:rsidRDefault="001635CB" w:rsidP="00AD4088">
            <w:pPr>
              <w:jc w:val="center"/>
              <w:rPr>
                <w:rFonts w:ascii="Arial" w:hAnsi="Arial" w:cs="Arial"/>
                <w:b/>
                <w:bCs/>
                <w:color w:val="000000"/>
                <w:sz w:val="18"/>
                <w:szCs w:val="18"/>
              </w:rPr>
            </w:pPr>
            <w:r>
              <w:rPr>
                <w:rFonts w:ascii="Arial" w:hAnsi="Arial" w:cs="Arial"/>
                <w:b/>
                <w:bCs/>
                <w:color w:val="000000"/>
                <w:sz w:val="18"/>
                <w:szCs w:val="18"/>
                <w:lang w:val="en-GB"/>
              </w:rPr>
              <w:t>SC25</w:t>
            </w:r>
          </w:p>
        </w:tc>
        <w:tc>
          <w:tcPr>
            <w:tcW w:w="533" w:type="pct"/>
            <w:tcBorders>
              <w:top w:val="nil"/>
              <w:left w:val="nil"/>
              <w:bottom w:val="single" w:sz="8" w:space="0" w:color="auto"/>
              <w:right w:val="single" w:sz="8" w:space="0" w:color="auto"/>
            </w:tcBorders>
            <w:shd w:val="clear" w:color="auto" w:fill="auto"/>
            <w:noWrap/>
            <w:vAlign w:val="center"/>
            <w:hideMark/>
          </w:tcPr>
          <w:p w14:paraId="3E87C1F9"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DL</w:t>
            </w:r>
          </w:p>
        </w:tc>
        <w:tc>
          <w:tcPr>
            <w:tcW w:w="479" w:type="pct"/>
            <w:tcBorders>
              <w:top w:val="nil"/>
              <w:left w:val="nil"/>
              <w:bottom w:val="single" w:sz="8" w:space="0" w:color="auto"/>
              <w:right w:val="single" w:sz="8" w:space="0" w:color="auto"/>
            </w:tcBorders>
            <w:shd w:val="clear" w:color="auto" w:fill="auto"/>
            <w:noWrap/>
            <w:vAlign w:val="center"/>
            <w:hideMark/>
          </w:tcPr>
          <w:p w14:paraId="792949B1"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2.0</w:t>
            </w:r>
          </w:p>
        </w:tc>
        <w:tc>
          <w:tcPr>
            <w:tcW w:w="752" w:type="pct"/>
            <w:tcBorders>
              <w:top w:val="nil"/>
              <w:left w:val="nil"/>
              <w:bottom w:val="single" w:sz="8" w:space="0" w:color="auto"/>
              <w:right w:val="single" w:sz="8" w:space="0" w:color="auto"/>
            </w:tcBorders>
            <w:shd w:val="clear" w:color="auto" w:fill="auto"/>
            <w:noWrap/>
            <w:vAlign w:val="center"/>
            <w:hideMark/>
          </w:tcPr>
          <w:p w14:paraId="3FFCFC25"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68.0</w:t>
            </w:r>
          </w:p>
        </w:tc>
        <w:tc>
          <w:tcPr>
            <w:tcW w:w="752" w:type="pct"/>
            <w:tcBorders>
              <w:top w:val="nil"/>
              <w:left w:val="nil"/>
              <w:bottom w:val="single" w:sz="8" w:space="0" w:color="auto"/>
              <w:right w:val="single" w:sz="8" w:space="0" w:color="auto"/>
            </w:tcBorders>
            <w:shd w:val="clear" w:color="auto" w:fill="auto"/>
            <w:noWrap/>
            <w:vAlign w:val="center"/>
            <w:hideMark/>
          </w:tcPr>
          <w:p w14:paraId="6761E032"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-31.6</w:t>
            </w:r>
          </w:p>
        </w:tc>
        <w:tc>
          <w:tcPr>
            <w:tcW w:w="269" w:type="pct"/>
            <w:tcBorders>
              <w:top w:val="nil"/>
              <w:left w:val="nil"/>
              <w:bottom w:val="single" w:sz="8" w:space="0" w:color="auto"/>
              <w:right w:val="single" w:sz="8" w:space="0" w:color="auto"/>
            </w:tcBorders>
            <w:shd w:val="clear" w:color="auto" w:fill="auto"/>
            <w:noWrap/>
            <w:vAlign w:val="center"/>
            <w:hideMark/>
          </w:tcPr>
          <w:p w14:paraId="30E2C651"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10.0</w:t>
            </w:r>
          </w:p>
        </w:tc>
        <w:tc>
          <w:tcPr>
            <w:tcW w:w="269" w:type="pct"/>
            <w:tcBorders>
              <w:top w:val="nil"/>
              <w:left w:val="nil"/>
              <w:bottom w:val="single" w:sz="8" w:space="0" w:color="auto"/>
              <w:right w:val="single" w:sz="8" w:space="0" w:color="auto"/>
            </w:tcBorders>
            <w:shd w:val="clear" w:color="auto" w:fill="auto"/>
            <w:noWrap/>
            <w:vAlign w:val="center"/>
            <w:hideMark/>
          </w:tcPr>
          <w:p w14:paraId="06DED756"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159.1</w:t>
            </w:r>
          </w:p>
        </w:tc>
        <w:tc>
          <w:tcPr>
            <w:tcW w:w="269" w:type="pct"/>
            <w:tcBorders>
              <w:top w:val="nil"/>
              <w:left w:val="nil"/>
              <w:bottom w:val="single" w:sz="8" w:space="0" w:color="auto"/>
              <w:right w:val="single" w:sz="8" w:space="0" w:color="auto"/>
            </w:tcBorders>
            <w:shd w:val="clear" w:color="auto" w:fill="auto"/>
            <w:noWrap/>
            <w:vAlign w:val="center"/>
            <w:hideMark/>
          </w:tcPr>
          <w:p w14:paraId="2DF7C3C7"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0.1</w:t>
            </w:r>
          </w:p>
        </w:tc>
        <w:tc>
          <w:tcPr>
            <w:tcW w:w="269" w:type="pct"/>
            <w:tcBorders>
              <w:top w:val="nil"/>
              <w:left w:val="nil"/>
              <w:bottom w:val="single" w:sz="8" w:space="0" w:color="auto"/>
              <w:right w:val="single" w:sz="8" w:space="0" w:color="auto"/>
            </w:tcBorders>
            <w:shd w:val="clear" w:color="auto" w:fill="auto"/>
            <w:noWrap/>
            <w:vAlign w:val="center"/>
            <w:hideMark/>
          </w:tcPr>
          <w:p w14:paraId="151E725A"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3.0</w:t>
            </w:r>
          </w:p>
        </w:tc>
        <w:tc>
          <w:tcPr>
            <w:tcW w:w="269" w:type="pct"/>
            <w:tcBorders>
              <w:top w:val="nil"/>
              <w:left w:val="nil"/>
              <w:bottom w:val="single" w:sz="8" w:space="0" w:color="auto"/>
              <w:right w:val="single" w:sz="8" w:space="0" w:color="auto"/>
            </w:tcBorders>
            <w:shd w:val="clear" w:color="auto" w:fill="auto"/>
            <w:noWrap/>
            <w:vAlign w:val="center"/>
            <w:hideMark/>
          </w:tcPr>
          <w:p w14:paraId="4C159DFE"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2.2</w:t>
            </w:r>
          </w:p>
        </w:tc>
        <w:tc>
          <w:tcPr>
            <w:tcW w:w="269" w:type="pct"/>
            <w:tcBorders>
              <w:top w:val="nil"/>
              <w:left w:val="nil"/>
              <w:bottom w:val="single" w:sz="8" w:space="0" w:color="auto"/>
              <w:right w:val="single" w:sz="8" w:space="0" w:color="auto"/>
            </w:tcBorders>
            <w:shd w:val="clear" w:color="auto" w:fill="auto"/>
            <w:noWrap/>
            <w:vAlign w:val="center"/>
            <w:hideMark/>
          </w:tcPr>
          <w:p w14:paraId="745AF50F"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60782DD8"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0.0</w:t>
            </w:r>
          </w:p>
        </w:tc>
        <w:tc>
          <w:tcPr>
            <w:tcW w:w="269" w:type="pct"/>
            <w:tcBorders>
              <w:top w:val="nil"/>
              <w:left w:val="nil"/>
              <w:bottom w:val="single" w:sz="8" w:space="0" w:color="auto"/>
              <w:right w:val="single" w:sz="8" w:space="0" w:color="auto"/>
            </w:tcBorders>
            <w:shd w:val="clear" w:color="auto" w:fill="auto"/>
            <w:noWrap/>
            <w:vAlign w:val="center"/>
            <w:hideMark/>
          </w:tcPr>
          <w:p w14:paraId="7D8398CC" w14:textId="77777777" w:rsidR="001635CB" w:rsidRDefault="001635CB" w:rsidP="00AD4088">
            <w:pPr>
              <w:jc w:val="center"/>
              <w:rPr>
                <w:rFonts w:ascii="Arial" w:hAnsi="Arial" w:cs="Arial"/>
                <w:color w:val="000000"/>
                <w:sz w:val="18"/>
                <w:szCs w:val="18"/>
              </w:rPr>
            </w:pPr>
            <w:r>
              <w:rPr>
                <w:rFonts w:ascii="Arial" w:hAnsi="Arial" w:cs="Arial"/>
                <w:color w:val="000000"/>
                <w:sz w:val="18"/>
                <w:szCs w:val="18"/>
                <w:lang w:val="en-GB"/>
              </w:rPr>
              <w:t>0.6</w:t>
            </w:r>
          </w:p>
        </w:tc>
      </w:tr>
    </w:tbl>
    <w:p w14:paraId="0CDB541F" w14:textId="77777777" w:rsidR="001635CB" w:rsidRDefault="001635CB" w:rsidP="001635CB">
      <w:pPr>
        <w:rPr>
          <w:lang w:val="en-US"/>
        </w:rPr>
      </w:pPr>
    </w:p>
    <w:p w14:paraId="5536DE29" w14:textId="77777777" w:rsidR="001635CB" w:rsidRDefault="001635CB" w:rsidP="001635CB">
      <w:pPr>
        <w:rPr>
          <w:lang w:val="en-US"/>
        </w:rPr>
      </w:pPr>
    </w:p>
    <w:p w14:paraId="34F5ADE0" w14:textId="77777777" w:rsidR="001635CB" w:rsidRDefault="001635CB" w:rsidP="001635CB">
      <w:pPr>
        <w:rPr>
          <w:lang w:val="en-US"/>
        </w:rPr>
      </w:pPr>
      <w:r>
        <w:rPr>
          <w:lang w:val="en-US"/>
        </w:rPr>
        <w:t>Taking the PFD limit mentioned above into account will result in another loss in CNR depending on the elevation angle reflected in the difference between the EIRP density in [2] and the EIRP density after taking PFD limit into account.</w:t>
      </w:r>
    </w:p>
    <w:p w14:paraId="501C4231" w14:textId="77777777" w:rsidR="001635CB" w:rsidRDefault="001635CB" w:rsidP="001635CB">
      <w:pPr>
        <w:rPr>
          <w:lang w:val="en-US"/>
        </w:rPr>
      </w:pPr>
    </w:p>
    <w:p w14:paraId="67242724" w14:textId="496C5F5A" w:rsidR="001635CB" w:rsidRDefault="001635CB" w:rsidP="001635CB">
      <w:pPr>
        <w:rPr>
          <w:lang w:val="en-US"/>
        </w:rPr>
      </w:pPr>
      <w:r>
        <w:rPr>
          <w:lang w:val="en-US"/>
        </w:rPr>
        <w:t xml:space="preserve">By taking the PFD limit, as well as the atmospheric losses and FSPL at different elevation angles [5], we have the following instead of the 6.6 dB assumed for SC9 above. Additionally, receiver G/T = -33.6 (dB/K) was considered instead of -31.6 </w:t>
      </w:r>
      <w:r w:rsidR="00652BE2">
        <w:rPr>
          <w:lang w:val="en-US"/>
        </w:rPr>
        <w:t xml:space="preserve">dB/K </w:t>
      </w:r>
      <w:r>
        <w:rPr>
          <w:lang w:val="en-US"/>
        </w:rPr>
        <w:t>as stated in link budget calculations provided for IMT-2020 satellite self-evaluation [4].</w:t>
      </w:r>
    </w:p>
    <w:p w14:paraId="70FE8C02" w14:textId="77777777" w:rsidR="001635CB" w:rsidRDefault="001635CB" w:rsidP="001635CB">
      <w:pPr>
        <w:rPr>
          <w:lang w:val="en-US"/>
        </w:rPr>
      </w:pPr>
    </w:p>
    <w:p w14:paraId="704E1332" w14:textId="77777777" w:rsidR="001635CB" w:rsidRDefault="001635CB" w:rsidP="001635CB">
      <w:pPr>
        <w:rPr>
          <w:lang w:val="en-US"/>
        </w:rPr>
      </w:pPr>
    </w:p>
    <w:p w14:paraId="7E4369B5" w14:textId="77777777" w:rsidR="001635CB" w:rsidRDefault="001635CB" w:rsidP="001635CB">
      <w:pPr>
        <w:rPr>
          <w:lang w:val="en-US"/>
        </w:rPr>
      </w:pPr>
    </w:p>
    <w:p w14:paraId="7B3B5164" w14:textId="77777777" w:rsidR="001635CB" w:rsidRDefault="001635CB" w:rsidP="001635CB">
      <w:pPr>
        <w:rPr>
          <w:lang w:val="en-US"/>
        </w:rPr>
      </w:pPr>
      <w:r>
        <w:rPr>
          <w:lang w:val="en-US"/>
        </w:rPr>
        <w:t>For LEO-600:</w:t>
      </w:r>
    </w:p>
    <w:p w14:paraId="2DAE6749" w14:textId="77777777" w:rsidR="001635CB" w:rsidRPr="00CF2354" w:rsidRDefault="001635CB" w:rsidP="001635CB">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10</w:t>
      </w:r>
      <w:r>
        <w:fldChar w:fldCharType="end"/>
      </w:r>
      <w:r w:rsidRPr="00CF2354">
        <w:rPr>
          <w:lang w:val="en-US"/>
        </w:rPr>
        <w:t xml:space="preserve"> </w:t>
      </w:r>
      <w:r>
        <w:rPr>
          <w:lang w:val="en-US"/>
        </w:rPr>
        <w:t>CNR Link Budget</w:t>
      </w:r>
      <w:r w:rsidRPr="00CF2354">
        <w:rPr>
          <w:lang w:val="en-US"/>
        </w:rPr>
        <w:t xml:space="preserve"> for LEO-600 (Considering PFD Limit</w:t>
      </w:r>
      <w:r>
        <w:rPr>
          <w:lang w:val="en-US"/>
        </w:rPr>
        <w:t xml:space="preserve"> and other losses at different elevation angles</w:t>
      </w:r>
      <w:r w:rsidRPr="00CF2354">
        <w:rPr>
          <w:lang w:val="en-US"/>
        </w:rPr>
        <w:t>)</w:t>
      </w:r>
    </w:p>
    <w:tbl>
      <w:tblPr>
        <w:tblW w:w="5000" w:type="pct"/>
        <w:jc w:val="center"/>
        <w:tblCellMar>
          <w:left w:w="70" w:type="dxa"/>
          <w:right w:w="70" w:type="dxa"/>
        </w:tblCellMar>
        <w:tblLook w:val="04A0" w:firstRow="1" w:lastRow="0" w:firstColumn="1" w:lastColumn="0" w:noHBand="0" w:noVBand="1"/>
      </w:tblPr>
      <w:tblGrid>
        <w:gridCol w:w="1503"/>
        <w:gridCol w:w="2369"/>
        <w:gridCol w:w="2130"/>
        <w:gridCol w:w="1284"/>
        <w:gridCol w:w="2343"/>
      </w:tblGrid>
      <w:tr w:rsidR="001635CB" w14:paraId="557FFEB0" w14:textId="77777777" w:rsidTr="006A333D">
        <w:trPr>
          <w:trHeight w:val="290"/>
          <w:jc w:val="center"/>
        </w:trPr>
        <w:tc>
          <w:tcPr>
            <w:tcW w:w="85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BD1C09"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Elevation angle</w:t>
            </w:r>
          </w:p>
        </w:tc>
        <w:tc>
          <w:tcPr>
            <w:tcW w:w="976" w:type="pct"/>
            <w:tcBorders>
              <w:top w:val="single" w:sz="4" w:space="0" w:color="auto"/>
              <w:left w:val="nil"/>
              <w:bottom w:val="single" w:sz="4" w:space="0" w:color="auto"/>
              <w:right w:val="single" w:sz="4" w:space="0" w:color="auto"/>
            </w:tcBorders>
            <w:shd w:val="clear" w:color="auto" w:fill="auto"/>
            <w:noWrap/>
            <w:vAlign w:val="bottom"/>
            <w:hideMark/>
          </w:tcPr>
          <w:p w14:paraId="6FE947CE"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EIRP Density [dBW/MHz]</w:t>
            </w:r>
          </w:p>
        </w:tc>
        <w:tc>
          <w:tcPr>
            <w:tcW w:w="878" w:type="pct"/>
            <w:tcBorders>
              <w:top w:val="single" w:sz="4" w:space="0" w:color="auto"/>
              <w:left w:val="nil"/>
              <w:bottom w:val="single" w:sz="4" w:space="0" w:color="auto"/>
              <w:right w:val="single" w:sz="4" w:space="0" w:color="auto"/>
            </w:tcBorders>
            <w:shd w:val="clear" w:color="auto" w:fill="auto"/>
            <w:noWrap/>
            <w:vAlign w:val="bottom"/>
            <w:hideMark/>
          </w:tcPr>
          <w:p w14:paraId="63748F10"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Atmospheric Loss [dB]</w:t>
            </w:r>
          </w:p>
        </w:tc>
        <w:tc>
          <w:tcPr>
            <w:tcW w:w="919" w:type="pct"/>
            <w:tcBorders>
              <w:top w:val="single" w:sz="4" w:space="0" w:color="auto"/>
              <w:left w:val="nil"/>
              <w:bottom w:val="single" w:sz="4" w:space="0" w:color="auto"/>
              <w:right w:val="single" w:sz="4" w:space="0" w:color="auto"/>
            </w:tcBorders>
            <w:shd w:val="clear" w:color="auto" w:fill="auto"/>
            <w:noWrap/>
            <w:vAlign w:val="bottom"/>
            <w:hideMark/>
          </w:tcPr>
          <w:p w14:paraId="09A141F1"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FSPL [dB]</w:t>
            </w:r>
          </w:p>
        </w:tc>
        <w:tc>
          <w:tcPr>
            <w:tcW w:w="1378" w:type="pct"/>
            <w:tcBorders>
              <w:top w:val="single" w:sz="4" w:space="0" w:color="auto"/>
              <w:left w:val="nil"/>
              <w:bottom w:val="single" w:sz="4" w:space="0" w:color="auto"/>
              <w:right w:val="single" w:sz="4" w:space="0" w:color="auto"/>
            </w:tcBorders>
            <w:shd w:val="clear" w:color="auto" w:fill="auto"/>
            <w:noWrap/>
            <w:vAlign w:val="bottom"/>
            <w:hideMark/>
          </w:tcPr>
          <w:p w14:paraId="0A6B67F6"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CNR [dB]</w:t>
            </w:r>
          </w:p>
        </w:tc>
      </w:tr>
      <w:tr w:rsidR="001635CB" w14:paraId="1ACB79FE"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2A5A9A3A"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5°</w:t>
            </w:r>
          </w:p>
        </w:tc>
        <w:tc>
          <w:tcPr>
            <w:tcW w:w="976" w:type="pct"/>
            <w:tcBorders>
              <w:top w:val="nil"/>
              <w:left w:val="nil"/>
              <w:bottom w:val="single" w:sz="4" w:space="0" w:color="auto"/>
              <w:right w:val="single" w:sz="4" w:space="0" w:color="auto"/>
            </w:tcBorders>
            <w:shd w:val="clear" w:color="auto" w:fill="auto"/>
            <w:noWrap/>
            <w:vAlign w:val="bottom"/>
            <w:hideMark/>
          </w:tcPr>
          <w:p w14:paraId="70DB794F"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15.3318</w:t>
            </w:r>
          </w:p>
        </w:tc>
        <w:tc>
          <w:tcPr>
            <w:tcW w:w="878" w:type="pct"/>
            <w:tcBorders>
              <w:top w:val="nil"/>
              <w:left w:val="nil"/>
              <w:bottom w:val="single" w:sz="4" w:space="0" w:color="auto"/>
              <w:right w:val="single" w:sz="4" w:space="0" w:color="auto"/>
            </w:tcBorders>
            <w:shd w:val="clear" w:color="auto" w:fill="auto"/>
            <w:noWrap/>
            <w:vAlign w:val="bottom"/>
            <w:hideMark/>
          </w:tcPr>
          <w:p w14:paraId="2EC9CE87"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w:t>
            </w:r>
          </w:p>
        </w:tc>
        <w:tc>
          <w:tcPr>
            <w:tcW w:w="919" w:type="pct"/>
            <w:tcBorders>
              <w:top w:val="nil"/>
              <w:left w:val="nil"/>
              <w:bottom w:val="single" w:sz="4" w:space="0" w:color="auto"/>
              <w:right w:val="single" w:sz="4" w:space="0" w:color="auto"/>
            </w:tcBorders>
            <w:shd w:val="clear" w:color="auto" w:fill="auto"/>
            <w:noWrap/>
            <w:vAlign w:val="bottom"/>
            <w:hideMark/>
          </w:tcPr>
          <w:p w14:paraId="0F04CA37"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 xml:space="preserve">165.81 </w:t>
            </w:r>
          </w:p>
        </w:tc>
        <w:tc>
          <w:tcPr>
            <w:tcW w:w="1378" w:type="pct"/>
            <w:tcBorders>
              <w:top w:val="nil"/>
              <w:left w:val="nil"/>
              <w:bottom w:val="single" w:sz="4" w:space="0" w:color="auto"/>
              <w:right w:val="single" w:sz="4" w:space="0" w:color="auto"/>
            </w:tcBorders>
            <w:shd w:val="clear" w:color="auto" w:fill="auto"/>
            <w:noWrap/>
            <w:vAlign w:val="bottom"/>
            <w:hideMark/>
          </w:tcPr>
          <w:p w14:paraId="45CE6A29"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-22.6782</w:t>
            </w:r>
          </w:p>
        </w:tc>
      </w:tr>
      <w:tr w:rsidR="001635CB" w14:paraId="0EABCCB5"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0B13C99D"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10°</w:t>
            </w:r>
          </w:p>
        </w:tc>
        <w:tc>
          <w:tcPr>
            <w:tcW w:w="976" w:type="pct"/>
            <w:tcBorders>
              <w:top w:val="nil"/>
              <w:left w:val="nil"/>
              <w:bottom w:val="single" w:sz="4" w:space="0" w:color="auto"/>
              <w:right w:val="single" w:sz="4" w:space="0" w:color="auto"/>
            </w:tcBorders>
            <w:shd w:val="clear" w:color="auto" w:fill="auto"/>
            <w:noWrap/>
            <w:vAlign w:val="bottom"/>
            <w:hideMark/>
          </w:tcPr>
          <w:p w14:paraId="112A3254"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16.2122</w:t>
            </w:r>
          </w:p>
        </w:tc>
        <w:tc>
          <w:tcPr>
            <w:tcW w:w="878" w:type="pct"/>
            <w:tcBorders>
              <w:top w:val="nil"/>
              <w:left w:val="nil"/>
              <w:bottom w:val="single" w:sz="4" w:space="0" w:color="auto"/>
              <w:right w:val="single" w:sz="4" w:space="0" w:color="auto"/>
            </w:tcBorders>
            <w:shd w:val="clear" w:color="auto" w:fill="auto"/>
            <w:noWrap/>
            <w:vAlign w:val="bottom"/>
            <w:hideMark/>
          </w:tcPr>
          <w:p w14:paraId="1AD96D07"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0.5</w:t>
            </w:r>
          </w:p>
        </w:tc>
        <w:tc>
          <w:tcPr>
            <w:tcW w:w="919" w:type="pct"/>
            <w:tcBorders>
              <w:top w:val="nil"/>
              <w:left w:val="nil"/>
              <w:bottom w:val="single" w:sz="4" w:space="0" w:color="auto"/>
              <w:right w:val="single" w:sz="4" w:space="0" w:color="auto"/>
            </w:tcBorders>
            <w:shd w:val="clear" w:color="auto" w:fill="auto"/>
            <w:noWrap/>
            <w:vAlign w:val="bottom"/>
            <w:hideMark/>
          </w:tcPr>
          <w:p w14:paraId="223854FA"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164.19</w:t>
            </w:r>
          </w:p>
        </w:tc>
        <w:tc>
          <w:tcPr>
            <w:tcW w:w="1378" w:type="pct"/>
            <w:tcBorders>
              <w:top w:val="nil"/>
              <w:left w:val="nil"/>
              <w:bottom w:val="single" w:sz="4" w:space="0" w:color="auto"/>
              <w:right w:val="single" w:sz="4" w:space="0" w:color="auto"/>
            </w:tcBorders>
            <w:shd w:val="clear" w:color="auto" w:fill="auto"/>
            <w:noWrap/>
            <w:vAlign w:val="bottom"/>
            <w:hideMark/>
          </w:tcPr>
          <w:p w14:paraId="6620AD78"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-21.6778</w:t>
            </w:r>
          </w:p>
        </w:tc>
      </w:tr>
      <w:tr w:rsidR="001635CB" w14:paraId="5A511973"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6FD8F5BF"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25°</w:t>
            </w:r>
          </w:p>
        </w:tc>
        <w:tc>
          <w:tcPr>
            <w:tcW w:w="976" w:type="pct"/>
            <w:tcBorders>
              <w:top w:val="nil"/>
              <w:left w:val="nil"/>
              <w:bottom w:val="single" w:sz="4" w:space="0" w:color="auto"/>
              <w:right w:val="single" w:sz="4" w:space="0" w:color="auto"/>
            </w:tcBorders>
            <w:shd w:val="clear" w:color="auto" w:fill="auto"/>
            <w:noWrap/>
            <w:vAlign w:val="bottom"/>
            <w:hideMark/>
          </w:tcPr>
          <w:p w14:paraId="715890DA"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19.6693</w:t>
            </w:r>
          </w:p>
        </w:tc>
        <w:tc>
          <w:tcPr>
            <w:tcW w:w="878" w:type="pct"/>
            <w:tcBorders>
              <w:top w:val="nil"/>
              <w:left w:val="nil"/>
              <w:bottom w:val="single" w:sz="4" w:space="0" w:color="auto"/>
              <w:right w:val="single" w:sz="4" w:space="0" w:color="auto"/>
            </w:tcBorders>
            <w:shd w:val="clear" w:color="auto" w:fill="auto"/>
            <w:noWrap/>
            <w:vAlign w:val="bottom"/>
            <w:hideMark/>
          </w:tcPr>
          <w:p w14:paraId="6DB9EDC2"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0.2</w:t>
            </w:r>
          </w:p>
        </w:tc>
        <w:tc>
          <w:tcPr>
            <w:tcW w:w="919" w:type="pct"/>
            <w:tcBorders>
              <w:top w:val="nil"/>
              <w:left w:val="nil"/>
              <w:bottom w:val="single" w:sz="4" w:space="0" w:color="auto"/>
              <w:right w:val="single" w:sz="4" w:space="0" w:color="auto"/>
            </w:tcBorders>
            <w:shd w:val="clear" w:color="auto" w:fill="auto"/>
            <w:noWrap/>
            <w:vAlign w:val="bottom"/>
            <w:hideMark/>
          </w:tcPr>
          <w:p w14:paraId="10E32158"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160.15</w:t>
            </w:r>
          </w:p>
        </w:tc>
        <w:tc>
          <w:tcPr>
            <w:tcW w:w="1378" w:type="pct"/>
            <w:tcBorders>
              <w:top w:val="nil"/>
              <w:left w:val="nil"/>
              <w:bottom w:val="single" w:sz="4" w:space="0" w:color="auto"/>
              <w:right w:val="single" w:sz="4" w:space="0" w:color="auto"/>
            </w:tcBorders>
            <w:shd w:val="clear" w:color="auto" w:fill="auto"/>
            <w:noWrap/>
            <w:vAlign w:val="bottom"/>
            <w:hideMark/>
          </w:tcPr>
          <w:p w14:paraId="7482D5CD"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-13.8807</w:t>
            </w:r>
          </w:p>
        </w:tc>
      </w:tr>
      <w:tr w:rsidR="001635CB" w14:paraId="2AD67A15"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744A33E8"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30°</w:t>
            </w:r>
          </w:p>
        </w:tc>
        <w:tc>
          <w:tcPr>
            <w:tcW w:w="976" w:type="pct"/>
            <w:tcBorders>
              <w:top w:val="nil"/>
              <w:left w:val="nil"/>
              <w:bottom w:val="single" w:sz="4" w:space="0" w:color="auto"/>
              <w:right w:val="single" w:sz="4" w:space="0" w:color="auto"/>
            </w:tcBorders>
            <w:shd w:val="clear" w:color="auto" w:fill="auto"/>
            <w:noWrap/>
            <w:vAlign w:val="bottom"/>
            <w:hideMark/>
          </w:tcPr>
          <w:p w14:paraId="5DB63108"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18.6203</w:t>
            </w:r>
          </w:p>
        </w:tc>
        <w:tc>
          <w:tcPr>
            <w:tcW w:w="878" w:type="pct"/>
            <w:tcBorders>
              <w:top w:val="nil"/>
              <w:left w:val="nil"/>
              <w:bottom w:val="single" w:sz="4" w:space="0" w:color="auto"/>
              <w:right w:val="single" w:sz="4" w:space="0" w:color="auto"/>
            </w:tcBorders>
            <w:shd w:val="clear" w:color="auto" w:fill="auto"/>
            <w:noWrap/>
            <w:vAlign w:val="bottom"/>
            <w:hideMark/>
          </w:tcPr>
          <w:p w14:paraId="3183F386"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0.1</w:t>
            </w:r>
          </w:p>
        </w:tc>
        <w:tc>
          <w:tcPr>
            <w:tcW w:w="919" w:type="pct"/>
            <w:tcBorders>
              <w:top w:val="nil"/>
              <w:left w:val="nil"/>
              <w:bottom w:val="single" w:sz="4" w:space="0" w:color="auto"/>
              <w:right w:val="single" w:sz="4" w:space="0" w:color="auto"/>
            </w:tcBorders>
            <w:shd w:val="clear" w:color="auto" w:fill="auto"/>
            <w:noWrap/>
            <w:vAlign w:val="bottom"/>
            <w:hideMark/>
          </w:tcPr>
          <w:p w14:paraId="2E221992"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159.10</w:t>
            </w:r>
          </w:p>
        </w:tc>
        <w:tc>
          <w:tcPr>
            <w:tcW w:w="1378" w:type="pct"/>
            <w:tcBorders>
              <w:top w:val="nil"/>
              <w:left w:val="nil"/>
              <w:bottom w:val="single" w:sz="4" w:space="0" w:color="auto"/>
              <w:right w:val="single" w:sz="4" w:space="0" w:color="auto"/>
            </w:tcBorders>
            <w:shd w:val="clear" w:color="auto" w:fill="auto"/>
            <w:noWrap/>
            <w:vAlign w:val="bottom"/>
            <w:hideMark/>
          </w:tcPr>
          <w:p w14:paraId="6D3BD139"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-13.7797</w:t>
            </w:r>
          </w:p>
        </w:tc>
      </w:tr>
      <w:tr w:rsidR="001635CB" w14:paraId="6DAE1BBF"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01165392"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60°</w:t>
            </w:r>
          </w:p>
        </w:tc>
        <w:tc>
          <w:tcPr>
            <w:tcW w:w="976" w:type="pct"/>
            <w:tcBorders>
              <w:top w:val="nil"/>
              <w:left w:val="nil"/>
              <w:bottom w:val="single" w:sz="4" w:space="0" w:color="auto"/>
              <w:right w:val="single" w:sz="4" w:space="0" w:color="auto"/>
            </w:tcBorders>
            <w:shd w:val="clear" w:color="auto" w:fill="auto"/>
            <w:noWrap/>
            <w:vAlign w:val="bottom"/>
            <w:hideMark/>
          </w:tcPr>
          <w:p w14:paraId="5090B6A5"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14.6805</w:t>
            </w:r>
          </w:p>
        </w:tc>
        <w:tc>
          <w:tcPr>
            <w:tcW w:w="878" w:type="pct"/>
            <w:tcBorders>
              <w:top w:val="nil"/>
              <w:left w:val="nil"/>
              <w:bottom w:val="single" w:sz="4" w:space="0" w:color="auto"/>
              <w:right w:val="single" w:sz="4" w:space="0" w:color="auto"/>
            </w:tcBorders>
            <w:shd w:val="clear" w:color="auto" w:fill="auto"/>
            <w:noWrap/>
            <w:vAlign w:val="bottom"/>
            <w:hideMark/>
          </w:tcPr>
          <w:p w14:paraId="5ABBB108"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0.1</w:t>
            </w:r>
          </w:p>
        </w:tc>
        <w:tc>
          <w:tcPr>
            <w:tcW w:w="919" w:type="pct"/>
            <w:tcBorders>
              <w:top w:val="nil"/>
              <w:left w:val="nil"/>
              <w:bottom w:val="nil"/>
              <w:right w:val="nil"/>
            </w:tcBorders>
            <w:shd w:val="clear" w:color="auto" w:fill="auto"/>
            <w:noWrap/>
            <w:vAlign w:val="bottom"/>
            <w:hideMark/>
          </w:tcPr>
          <w:p w14:paraId="6D836415"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155</w:t>
            </w:r>
          </w:p>
        </w:tc>
        <w:tc>
          <w:tcPr>
            <w:tcW w:w="1378" w:type="pct"/>
            <w:tcBorders>
              <w:top w:val="nil"/>
              <w:left w:val="single" w:sz="4" w:space="0" w:color="auto"/>
              <w:bottom w:val="single" w:sz="4" w:space="0" w:color="auto"/>
              <w:right w:val="single" w:sz="4" w:space="0" w:color="auto"/>
            </w:tcBorders>
            <w:shd w:val="clear" w:color="auto" w:fill="auto"/>
            <w:noWrap/>
            <w:vAlign w:val="bottom"/>
            <w:hideMark/>
          </w:tcPr>
          <w:p w14:paraId="64A37436"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-13.6195</w:t>
            </w:r>
          </w:p>
        </w:tc>
      </w:tr>
      <w:tr w:rsidR="001635CB" w14:paraId="01A8C02B" w14:textId="77777777" w:rsidTr="006A333D">
        <w:trPr>
          <w:trHeight w:val="290"/>
          <w:jc w:val="center"/>
        </w:trPr>
        <w:tc>
          <w:tcPr>
            <w:tcW w:w="850" w:type="pct"/>
            <w:tcBorders>
              <w:top w:val="nil"/>
              <w:left w:val="single" w:sz="4" w:space="0" w:color="auto"/>
              <w:bottom w:val="single" w:sz="4" w:space="0" w:color="auto"/>
              <w:right w:val="single" w:sz="4" w:space="0" w:color="auto"/>
            </w:tcBorders>
            <w:shd w:val="clear" w:color="auto" w:fill="auto"/>
            <w:noWrap/>
            <w:vAlign w:val="bottom"/>
            <w:hideMark/>
          </w:tcPr>
          <w:p w14:paraId="4B6B7050"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90°</w:t>
            </w:r>
          </w:p>
        </w:tc>
        <w:tc>
          <w:tcPr>
            <w:tcW w:w="976" w:type="pct"/>
            <w:tcBorders>
              <w:top w:val="nil"/>
              <w:left w:val="nil"/>
              <w:bottom w:val="single" w:sz="4" w:space="0" w:color="auto"/>
              <w:right w:val="single" w:sz="4" w:space="0" w:color="auto"/>
            </w:tcBorders>
            <w:shd w:val="clear" w:color="auto" w:fill="auto"/>
            <w:noWrap/>
            <w:vAlign w:val="bottom"/>
            <w:hideMark/>
          </w:tcPr>
          <w:p w14:paraId="73C085B3"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13.5551</w:t>
            </w:r>
          </w:p>
        </w:tc>
        <w:tc>
          <w:tcPr>
            <w:tcW w:w="878" w:type="pct"/>
            <w:tcBorders>
              <w:top w:val="nil"/>
              <w:left w:val="nil"/>
              <w:bottom w:val="single" w:sz="4" w:space="0" w:color="auto"/>
              <w:right w:val="single" w:sz="4" w:space="0" w:color="auto"/>
            </w:tcBorders>
            <w:shd w:val="clear" w:color="auto" w:fill="auto"/>
            <w:noWrap/>
            <w:vAlign w:val="bottom"/>
            <w:hideMark/>
          </w:tcPr>
          <w:p w14:paraId="3BD61FA9"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0.1</w:t>
            </w:r>
          </w:p>
        </w:tc>
        <w:tc>
          <w:tcPr>
            <w:tcW w:w="919" w:type="pct"/>
            <w:tcBorders>
              <w:top w:val="single" w:sz="4" w:space="0" w:color="auto"/>
              <w:left w:val="nil"/>
              <w:bottom w:val="single" w:sz="4" w:space="0" w:color="auto"/>
              <w:right w:val="single" w:sz="4" w:space="0" w:color="auto"/>
            </w:tcBorders>
            <w:shd w:val="clear" w:color="auto" w:fill="auto"/>
            <w:noWrap/>
            <w:vAlign w:val="bottom"/>
            <w:hideMark/>
          </w:tcPr>
          <w:p w14:paraId="20896525"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154</w:t>
            </w:r>
          </w:p>
        </w:tc>
        <w:tc>
          <w:tcPr>
            <w:tcW w:w="1378" w:type="pct"/>
            <w:tcBorders>
              <w:top w:val="nil"/>
              <w:left w:val="nil"/>
              <w:bottom w:val="single" w:sz="4" w:space="0" w:color="auto"/>
              <w:right w:val="single" w:sz="4" w:space="0" w:color="auto"/>
            </w:tcBorders>
            <w:shd w:val="clear" w:color="auto" w:fill="auto"/>
            <w:noWrap/>
            <w:vAlign w:val="bottom"/>
            <w:hideMark/>
          </w:tcPr>
          <w:p w14:paraId="51FA129C" w14:textId="77777777" w:rsidR="001635CB" w:rsidRDefault="001635CB" w:rsidP="00AD4088">
            <w:pPr>
              <w:jc w:val="center"/>
              <w:rPr>
                <w:rFonts w:ascii="Calibri" w:hAnsi="Calibri" w:cs="Calibri"/>
                <w:color w:val="000000"/>
                <w:sz w:val="22"/>
                <w:szCs w:val="22"/>
              </w:rPr>
            </w:pPr>
            <w:r>
              <w:rPr>
                <w:rFonts w:ascii="Calibri" w:hAnsi="Calibri" w:cs="Calibri"/>
                <w:color w:val="000000"/>
                <w:sz w:val="22"/>
                <w:szCs w:val="22"/>
              </w:rPr>
              <w:t>-13.7449</w:t>
            </w:r>
          </w:p>
        </w:tc>
      </w:tr>
    </w:tbl>
    <w:p w14:paraId="41E0EEC3" w14:textId="77777777" w:rsidR="001635CB" w:rsidRDefault="001635CB" w:rsidP="001635CB">
      <w:pPr>
        <w:rPr>
          <w:lang w:val="en-US"/>
        </w:rPr>
      </w:pPr>
    </w:p>
    <w:p w14:paraId="6D349112" w14:textId="77777777" w:rsidR="001635CB" w:rsidRDefault="001635CB" w:rsidP="001635CB">
      <w:pPr>
        <w:rPr>
          <w:lang w:val="en-US"/>
        </w:rPr>
      </w:pPr>
      <w:r>
        <w:rPr>
          <w:lang w:val="en-US"/>
        </w:rPr>
        <w:t xml:space="preserve">As shown in table 10 above, the achieved link-budget CNR by taking PFD limit as well as the atmospheric losses and FSPL at different elevation angles is far less than the values provided in [2], which should be considered when evaluating the performance of PDSCH and PDCCH. </w:t>
      </w:r>
    </w:p>
    <w:p w14:paraId="4564B321" w14:textId="77777777" w:rsidR="005763D4" w:rsidRDefault="005763D4" w:rsidP="001635CB">
      <w:pPr>
        <w:rPr>
          <w:lang w:val="en-US"/>
        </w:rPr>
      </w:pPr>
    </w:p>
    <w:p w14:paraId="74D1EE22" w14:textId="2ED533A1" w:rsidR="005763D4" w:rsidRDefault="005763D4" w:rsidP="001635CB">
      <w:pPr>
        <w:rPr>
          <w:lang w:val="en-US"/>
        </w:rPr>
      </w:pPr>
      <w:r>
        <w:rPr>
          <w:lang w:val="en-US"/>
        </w:rPr>
        <w:lastRenderedPageBreak/>
        <w:t>It is worth mentioning that the -5.5 d</w:t>
      </w:r>
      <w:proofErr w:type="spellStart"/>
      <w:r>
        <w:rPr>
          <w:lang w:val="en-US"/>
        </w:rPr>
        <w:t>Bi</w:t>
      </w:r>
      <w:proofErr w:type="spellEnd"/>
      <w:r>
        <w:rPr>
          <w:lang w:val="en-US"/>
        </w:rPr>
        <w:t xml:space="preserve"> antenna gain was not considered in the link budget calculations, which is adding additional 5.5 dB CNR loss to link budget if considered.</w:t>
      </w:r>
    </w:p>
    <w:p w14:paraId="14AE49DE" w14:textId="77777777" w:rsidR="001635CB" w:rsidRDefault="001635CB" w:rsidP="001635CB">
      <w:pPr>
        <w:rPr>
          <w:bCs/>
          <w:lang w:val="en-US"/>
        </w:rPr>
      </w:pPr>
    </w:p>
    <w:p w14:paraId="7D547388" w14:textId="77777777" w:rsidR="001635CB" w:rsidRDefault="001635CB" w:rsidP="001635CB">
      <w:pPr>
        <w:rPr>
          <w:rFonts w:eastAsia="SimSun"/>
          <w:b/>
          <w:lang w:val="en-US"/>
        </w:rPr>
      </w:pPr>
      <w:r w:rsidRPr="008D66A0">
        <w:rPr>
          <w:rFonts w:eastAsia="SimSun"/>
          <w:b/>
          <w:lang w:val="en-US"/>
        </w:rPr>
        <w:t xml:space="preserve">Observation 1: The </w:t>
      </w:r>
      <w:r>
        <w:rPr>
          <w:rFonts w:eastAsia="SimSun"/>
          <w:b/>
          <w:lang w:val="en-US"/>
        </w:rPr>
        <w:t xml:space="preserve">current </w:t>
      </w:r>
      <w:r w:rsidRPr="008D66A0">
        <w:rPr>
          <w:rFonts w:eastAsia="SimSun"/>
          <w:b/>
          <w:lang w:val="en-US"/>
        </w:rPr>
        <w:t>regulation of limiting power flux density in S</w:t>
      </w:r>
      <w:r>
        <w:rPr>
          <w:rFonts w:eastAsia="SimSun"/>
          <w:b/>
          <w:lang w:val="en-US"/>
        </w:rPr>
        <w:t>-</w:t>
      </w:r>
      <w:r w:rsidRPr="008D66A0">
        <w:rPr>
          <w:rFonts w:eastAsia="SimSun"/>
          <w:b/>
          <w:lang w:val="en-US"/>
        </w:rPr>
        <w:t>band leads to low</w:t>
      </w:r>
      <w:r>
        <w:rPr>
          <w:rFonts w:eastAsia="SimSun"/>
          <w:b/>
          <w:lang w:val="en-US"/>
        </w:rPr>
        <w:t>er</w:t>
      </w:r>
      <w:r w:rsidRPr="008D66A0">
        <w:rPr>
          <w:rFonts w:eastAsia="SimSun"/>
          <w:b/>
          <w:lang w:val="en-US"/>
        </w:rPr>
        <w:t xml:space="preserve"> CNR</w:t>
      </w:r>
      <w:r>
        <w:rPr>
          <w:rFonts w:eastAsia="SimSun"/>
          <w:b/>
          <w:lang w:val="en-US"/>
        </w:rPr>
        <w:t xml:space="preserve"> compared to [2].</w:t>
      </w:r>
    </w:p>
    <w:p w14:paraId="3A3E6B78" w14:textId="77777777" w:rsidR="001635CB" w:rsidRPr="001635CB" w:rsidRDefault="001635CB" w:rsidP="001635CB">
      <w:pPr>
        <w:rPr>
          <w:lang w:val="en-US"/>
        </w:rPr>
      </w:pPr>
    </w:p>
    <w:p w14:paraId="66895608" w14:textId="35F89A99" w:rsidR="00C51C81" w:rsidRPr="00B13A58" w:rsidRDefault="00D6424A" w:rsidP="00B13A58">
      <w:pPr>
        <w:pStyle w:val="berschrift4"/>
        <w:numPr>
          <w:ilvl w:val="2"/>
          <w:numId w:val="35"/>
        </w:numPr>
        <w:rPr>
          <w:sz w:val="24"/>
          <w:szCs w:val="24"/>
        </w:rPr>
      </w:pPr>
      <w:r>
        <w:rPr>
          <w:sz w:val="24"/>
          <w:szCs w:val="24"/>
        </w:rPr>
        <w:t>PDCCH</w:t>
      </w:r>
      <w:r w:rsidR="00F22B1C">
        <w:rPr>
          <w:sz w:val="24"/>
          <w:szCs w:val="24"/>
        </w:rPr>
        <w:t xml:space="preserve"> Enhancement </w:t>
      </w:r>
    </w:p>
    <w:p w14:paraId="15B1AF50" w14:textId="77777777" w:rsidR="00C51C81" w:rsidRDefault="00C51C81" w:rsidP="00E7492F">
      <w:pPr>
        <w:rPr>
          <w:lang w:val="en-GB"/>
        </w:rPr>
      </w:pPr>
    </w:p>
    <w:p w14:paraId="52D0D7B6" w14:textId="1D956847" w:rsidR="00E7492F" w:rsidRPr="00E7492F" w:rsidRDefault="00E7492F" w:rsidP="00E7492F">
      <w:pPr>
        <w:pStyle w:val="berschrift5"/>
        <w:numPr>
          <w:ilvl w:val="3"/>
          <w:numId w:val="35"/>
        </w:numPr>
        <w:rPr>
          <w:lang w:val="en-GB"/>
        </w:rPr>
      </w:pPr>
      <w:r>
        <w:rPr>
          <w:lang w:val="en-GB"/>
        </w:rPr>
        <w:t>PFD limit</w:t>
      </w:r>
      <w:r w:rsidR="005763D4">
        <w:rPr>
          <w:lang w:val="en-GB"/>
        </w:rPr>
        <w:t xml:space="preserve"> and other losses</w:t>
      </w:r>
    </w:p>
    <w:p w14:paraId="38CE8734" w14:textId="77777777" w:rsidR="00DA1B51" w:rsidRPr="00DA1B51" w:rsidRDefault="00DA1B51" w:rsidP="00DA1B51">
      <w:pPr>
        <w:rPr>
          <w:lang w:val="en-GB"/>
        </w:rPr>
      </w:pPr>
    </w:p>
    <w:p w14:paraId="70D1DC94" w14:textId="3E31CFFE" w:rsidR="00BF2E98" w:rsidRDefault="00192628" w:rsidP="00B26724">
      <w:pPr>
        <w:rPr>
          <w:lang w:val="en-US"/>
        </w:rPr>
      </w:pPr>
      <w:r>
        <w:rPr>
          <w:lang w:val="en-US"/>
        </w:rPr>
        <w:t>L</w:t>
      </w:r>
      <w:r w:rsidR="00BF2E98">
        <w:rPr>
          <w:lang w:val="en-US"/>
        </w:rPr>
        <w:t xml:space="preserve">ink level simulation for PDCCH </w:t>
      </w:r>
      <w:r w:rsidR="00577C61">
        <w:rPr>
          <w:lang w:val="en-US"/>
        </w:rPr>
        <w:t xml:space="preserve">was performed </w:t>
      </w:r>
      <w:r w:rsidR="00BF2E98">
        <w:rPr>
          <w:lang w:val="en-US"/>
        </w:rPr>
        <w:t>using the following parameters</w:t>
      </w:r>
      <w:r>
        <w:rPr>
          <w:lang w:val="en-US"/>
        </w:rPr>
        <w:t>:</w:t>
      </w:r>
    </w:p>
    <w:p w14:paraId="3280CC27" w14:textId="0438FDA1"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11</w:t>
      </w:r>
      <w:r>
        <w:fldChar w:fldCharType="end"/>
      </w:r>
      <w:r w:rsidRPr="00CF2354">
        <w:rPr>
          <w:lang w:val="en-US"/>
        </w:rPr>
        <w:t xml:space="preserve"> PDCCH Link-Level Simulation Parameters</w:t>
      </w:r>
      <w:r>
        <w:rPr>
          <w:lang w:val="en-US"/>
        </w:rPr>
        <w:t xml:space="preserve"> 1</w:t>
      </w:r>
    </w:p>
    <w:tbl>
      <w:tblPr>
        <w:tblW w:w="5750" w:type="dxa"/>
        <w:jc w:val="center"/>
        <w:tblCellMar>
          <w:left w:w="70" w:type="dxa"/>
          <w:right w:w="70" w:type="dxa"/>
        </w:tblCellMar>
        <w:tblLook w:val="04A0" w:firstRow="1" w:lastRow="0" w:firstColumn="1" w:lastColumn="0" w:noHBand="0" w:noVBand="1"/>
      </w:tblPr>
      <w:tblGrid>
        <w:gridCol w:w="3350"/>
        <w:gridCol w:w="2400"/>
      </w:tblGrid>
      <w:tr w:rsidR="00E22C00" w14:paraId="02AB1371" w14:textId="77777777" w:rsidTr="00E22C00">
        <w:trPr>
          <w:trHeight w:val="290"/>
          <w:jc w:val="center"/>
        </w:trPr>
        <w:tc>
          <w:tcPr>
            <w:tcW w:w="3350"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3A20CD80" w14:textId="77777777" w:rsidR="00E22C00" w:rsidRDefault="00E22C00">
            <w:pPr>
              <w:jc w:val="center"/>
              <w:rPr>
                <w:rFonts w:ascii="Calibri" w:hAnsi="Calibri" w:cs="Calibri"/>
                <w:b/>
                <w:bCs/>
                <w:color w:val="000000"/>
                <w:sz w:val="22"/>
                <w:szCs w:val="22"/>
              </w:rPr>
            </w:pPr>
            <w:r>
              <w:rPr>
                <w:rFonts w:ascii="Calibri" w:hAnsi="Calibri" w:cs="Calibri"/>
                <w:b/>
                <w:bCs/>
                <w:color w:val="000000"/>
                <w:sz w:val="22"/>
                <w:szCs w:val="22"/>
                <w:lang w:val="en-GB"/>
              </w:rPr>
              <w:t>Parameter</w:t>
            </w:r>
          </w:p>
        </w:tc>
        <w:tc>
          <w:tcPr>
            <w:tcW w:w="2400" w:type="dxa"/>
            <w:tcBorders>
              <w:top w:val="single" w:sz="4" w:space="0" w:color="auto"/>
              <w:left w:val="nil"/>
              <w:bottom w:val="single" w:sz="4" w:space="0" w:color="auto"/>
              <w:right w:val="single" w:sz="4" w:space="0" w:color="auto"/>
            </w:tcBorders>
            <w:shd w:val="clear" w:color="000000" w:fill="B4C6E7"/>
            <w:noWrap/>
            <w:vAlign w:val="bottom"/>
            <w:hideMark/>
          </w:tcPr>
          <w:p w14:paraId="1778719B" w14:textId="77777777" w:rsidR="00E22C00" w:rsidRDefault="00E22C00">
            <w:pPr>
              <w:jc w:val="center"/>
              <w:rPr>
                <w:rFonts w:ascii="Calibri" w:hAnsi="Calibri" w:cs="Calibri"/>
                <w:b/>
                <w:bCs/>
                <w:color w:val="000000"/>
                <w:sz w:val="22"/>
                <w:szCs w:val="22"/>
              </w:rPr>
            </w:pPr>
            <w:r>
              <w:rPr>
                <w:rFonts w:ascii="Calibri" w:hAnsi="Calibri" w:cs="Calibri"/>
                <w:b/>
                <w:bCs/>
                <w:color w:val="000000"/>
                <w:sz w:val="22"/>
                <w:szCs w:val="22"/>
                <w:lang w:val="en-GB"/>
              </w:rPr>
              <w:t>Value</w:t>
            </w:r>
          </w:p>
        </w:tc>
      </w:tr>
      <w:tr w:rsidR="00E22C00" w14:paraId="542F5350"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78157824"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SCS</w:t>
            </w:r>
          </w:p>
        </w:tc>
        <w:tc>
          <w:tcPr>
            <w:tcW w:w="2400" w:type="dxa"/>
            <w:tcBorders>
              <w:top w:val="nil"/>
              <w:left w:val="nil"/>
              <w:bottom w:val="single" w:sz="4" w:space="0" w:color="auto"/>
              <w:right w:val="single" w:sz="4" w:space="0" w:color="auto"/>
            </w:tcBorders>
            <w:shd w:val="clear" w:color="auto" w:fill="auto"/>
            <w:noWrap/>
            <w:vAlign w:val="bottom"/>
            <w:hideMark/>
          </w:tcPr>
          <w:p w14:paraId="6AAEEFB8"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15 kHz</w:t>
            </w:r>
          </w:p>
        </w:tc>
      </w:tr>
      <w:tr w:rsidR="00E22C00" w14:paraId="76314724"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369C0C5D"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 xml:space="preserve">BWP </w:t>
            </w:r>
          </w:p>
        </w:tc>
        <w:tc>
          <w:tcPr>
            <w:tcW w:w="2400" w:type="dxa"/>
            <w:tcBorders>
              <w:top w:val="nil"/>
              <w:left w:val="nil"/>
              <w:bottom w:val="single" w:sz="4" w:space="0" w:color="auto"/>
              <w:right w:val="single" w:sz="4" w:space="0" w:color="auto"/>
            </w:tcBorders>
            <w:shd w:val="clear" w:color="auto" w:fill="auto"/>
            <w:noWrap/>
            <w:vAlign w:val="bottom"/>
            <w:hideMark/>
          </w:tcPr>
          <w:p w14:paraId="1B931FA2"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112 PRBs</w:t>
            </w:r>
          </w:p>
        </w:tc>
      </w:tr>
      <w:tr w:rsidR="00E22C00" w14:paraId="4958F8AC"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5B83203F"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AL</w:t>
            </w:r>
          </w:p>
        </w:tc>
        <w:tc>
          <w:tcPr>
            <w:tcW w:w="2400" w:type="dxa"/>
            <w:tcBorders>
              <w:top w:val="nil"/>
              <w:left w:val="nil"/>
              <w:bottom w:val="single" w:sz="4" w:space="0" w:color="auto"/>
              <w:right w:val="single" w:sz="4" w:space="0" w:color="auto"/>
            </w:tcBorders>
            <w:shd w:val="clear" w:color="auto" w:fill="auto"/>
            <w:noWrap/>
            <w:vAlign w:val="bottom"/>
            <w:hideMark/>
          </w:tcPr>
          <w:p w14:paraId="5078E794"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16</w:t>
            </w:r>
          </w:p>
        </w:tc>
      </w:tr>
      <w:tr w:rsidR="00E22C00" w14:paraId="07597135"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7548CB81"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CORESET size</w:t>
            </w:r>
          </w:p>
        </w:tc>
        <w:tc>
          <w:tcPr>
            <w:tcW w:w="2400" w:type="dxa"/>
            <w:tcBorders>
              <w:top w:val="nil"/>
              <w:left w:val="nil"/>
              <w:bottom w:val="single" w:sz="4" w:space="0" w:color="auto"/>
              <w:right w:val="single" w:sz="4" w:space="0" w:color="auto"/>
            </w:tcBorders>
            <w:shd w:val="clear" w:color="auto" w:fill="auto"/>
            <w:noWrap/>
            <w:vAlign w:val="bottom"/>
            <w:hideMark/>
          </w:tcPr>
          <w:p w14:paraId="04B3F8B9"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2 symbols, 48 PRBs</w:t>
            </w:r>
          </w:p>
        </w:tc>
      </w:tr>
      <w:tr w:rsidR="00E22C00" w14:paraId="2151164D"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0D58A0E0"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Target BLER</w:t>
            </w:r>
          </w:p>
        </w:tc>
        <w:tc>
          <w:tcPr>
            <w:tcW w:w="2400" w:type="dxa"/>
            <w:tcBorders>
              <w:top w:val="nil"/>
              <w:left w:val="nil"/>
              <w:bottom w:val="single" w:sz="4" w:space="0" w:color="auto"/>
              <w:right w:val="single" w:sz="4" w:space="0" w:color="auto"/>
            </w:tcBorders>
            <w:shd w:val="clear" w:color="auto" w:fill="auto"/>
            <w:noWrap/>
            <w:vAlign w:val="bottom"/>
            <w:hideMark/>
          </w:tcPr>
          <w:p w14:paraId="1C2061B5"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 BLER</w:t>
            </w:r>
          </w:p>
        </w:tc>
      </w:tr>
      <w:tr w:rsidR="00E22C00" w14:paraId="0137052E"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3ED14EA1"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 xml:space="preserve">Number of </w:t>
            </w:r>
            <w:proofErr w:type="spellStart"/>
            <w:r>
              <w:rPr>
                <w:rFonts w:ascii="Calibri" w:hAnsi="Calibri" w:cs="Calibri"/>
                <w:color w:val="000000"/>
                <w:sz w:val="22"/>
                <w:szCs w:val="22"/>
              </w:rPr>
              <w:t>Rx</w:t>
            </w:r>
            <w:proofErr w:type="spellEnd"/>
          </w:p>
        </w:tc>
        <w:tc>
          <w:tcPr>
            <w:tcW w:w="2400" w:type="dxa"/>
            <w:tcBorders>
              <w:top w:val="nil"/>
              <w:left w:val="nil"/>
              <w:bottom w:val="single" w:sz="4" w:space="0" w:color="auto"/>
              <w:right w:val="single" w:sz="4" w:space="0" w:color="auto"/>
            </w:tcBorders>
            <w:shd w:val="clear" w:color="auto" w:fill="auto"/>
            <w:noWrap/>
            <w:vAlign w:val="bottom"/>
            <w:hideMark/>
          </w:tcPr>
          <w:p w14:paraId="7EC25B57"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2</w:t>
            </w:r>
          </w:p>
        </w:tc>
      </w:tr>
      <w:tr w:rsidR="00E22C00" w14:paraId="1C6BCFE0" w14:textId="77777777" w:rsidTr="00E22C00">
        <w:trPr>
          <w:trHeight w:val="290"/>
          <w:jc w:val="center"/>
        </w:trPr>
        <w:tc>
          <w:tcPr>
            <w:tcW w:w="3350" w:type="dxa"/>
            <w:tcBorders>
              <w:top w:val="nil"/>
              <w:left w:val="single" w:sz="4" w:space="0" w:color="auto"/>
              <w:bottom w:val="single" w:sz="4" w:space="0" w:color="auto"/>
              <w:right w:val="single" w:sz="4" w:space="0" w:color="auto"/>
            </w:tcBorders>
            <w:shd w:val="clear" w:color="auto" w:fill="auto"/>
            <w:noWrap/>
            <w:vAlign w:val="bottom"/>
            <w:hideMark/>
          </w:tcPr>
          <w:p w14:paraId="36CE70D5"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Channel</w:t>
            </w:r>
          </w:p>
        </w:tc>
        <w:tc>
          <w:tcPr>
            <w:tcW w:w="2400" w:type="dxa"/>
            <w:tcBorders>
              <w:top w:val="nil"/>
              <w:left w:val="nil"/>
              <w:bottom w:val="single" w:sz="4" w:space="0" w:color="auto"/>
              <w:right w:val="single" w:sz="4" w:space="0" w:color="auto"/>
            </w:tcBorders>
            <w:shd w:val="clear" w:color="auto" w:fill="auto"/>
            <w:noWrap/>
            <w:vAlign w:val="bottom"/>
            <w:hideMark/>
          </w:tcPr>
          <w:p w14:paraId="28CB5AEC"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TDL-C 100ns</w:t>
            </w:r>
          </w:p>
        </w:tc>
      </w:tr>
    </w:tbl>
    <w:p w14:paraId="25C5A8EB" w14:textId="77777777" w:rsidR="00B31902" w:rsidRDefault="00B31902" w:rsidP="00B31902">
      <w:pPr>
        <w:rPr>
          <w:lang w:val="en-US"/>
        </w:rPr>
      </w:pPr>
    </w:p>
    <w:p w14:paraId="6BA75230" w14:textId="564D62EF" w:rsidR="00BF2E98" w:rsidRDefault="00BF2E98" w:rsidP="00BF2E98">
      <w:pPr>
        <w:jc w:val="center"/>
        <w:rPr>
          <w:lang w:val="en-US"/>
        </w:rPr>
      </w:pPr>
    </w:p>
    <w:p w14:paraId="2D1D9DE8" w14:textId="77777777" w:rsidR="00CF2354" w:rsidRDefault="00F42E95" w:rsidP="00CF2354">
      <w:pPr>
        <w:keepNext/>
        <w:jc w:val="center"/>
      </w:pPr>
      <w:r>
        <w:rPr>
          <w:noProof/>
          <w:lang w:val="en-US"/>
        </w:rPr>
        <w:drawing>
          <wp:inline distT="0" distB="0" distL="0" distR="0" wp14:anchorId="24DC46CD" wp14:editId="77FE1FED">
            <wp:extent cx="6760845" cy="3383733"/>
            <wp:effectExtent l="0" t="0" r="1905" b="7620"/>
            <wp:docPr id="2090075370" name="Grafik 2" descr="Ein Bild, das Text, Diagramm, Reihe, Hand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075370" name="Grafik 2" descr="Ein Bild, das Text, Diagramm, Reihe, Handschrift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22863" cy="3414772"/>
                    </a:xfrm>
                    <a:prstGeom prst="rect">
                      <a:avLst/>
                    </a:prstGeom>
                  </pic:spPr>
                </pic:pic>
              </a:graphicData>
            </a:graphic>
          </wp:inline>
        </w:drawing>
      </w:r>
    </w:p>
    <w:p w14:paraId="0D08EAB6" w14:textId="61FBE81C" w:rsidR="00BF2E98" w:rsidRDefault="00CF2354" w:rsidP="00CF2354">
      <w:pPr>
        <w:pStyle w:val="Beschriftung"/>
        <w:jc w:val="center"/>
        <w:rPr>
          <w:lang w:val="en-US"/>
        </w:rPr>
      </w:pPr>
      <w:r w:rsidRPr="00CF2354">
        <w:rPr>
          <w:lang w:val="en-US"/>
        </w:rPr>
        <w:t xml:space="preserve">Figure </w:t>
      </w:r>
      <w:r>
        <w:fldChar w:fldCharType="begin"/>
      </w:r>
      <w:r w:rsidRPr="00CF2354">
        <w:rPr>
          <w:lang w:val="en-US"/>
        </w:rPr>
        <w:instrText xml:space="preserve"> SEQ Figure \* ARABIC </w:instrText>
      </w:r>
      <w:r>
        <w:fldChar w:fldCharType="separate"/>
      </w:r>
      <w:r>
        <w:rPr>
          <w:noProof/>
          <w:lang w:val="en-US"/>
        </w:rPr>
        <w:t>1</w:t>
      </w:r>
      <w:r>
        <w:fldChar w:fldCharType="end"/>
      </w:r>
      <w:r w:rsidRPr="00CF2354">
        <w:rPr>
          <w:lang w:val="en-US"/>
        </w:rPr>
        <w:t xml:space="preserve"> PDCCH Performance (</w:t>
      </w:r>
      <w:r>
        <w:rPr>
          <w:lang w:val="en-US"/>
        </w:rPr>
        <w:t>BW 112 RB</w:t>
      </w:r>
      <w:r w:rsidRPr="00CF2354">
        <w:rPr>
          <w:lang w:val="en-US"/>
        </w:rPr>
        <w:t>)</w:t>
      </w:r>
    </w:p>
    <w:p w14:paraId="2A20F18E" w14:textId="77777777" w:rsidR="00BF2E98" w:rsidRDefault="00BF2E98" w:rsidP="00BF2E98">
      <w:pPr>
        <w:rPr>
          <w:lang w:val="en-US"/>
        </w:rPr>
      </w:pPr>
    </w:p>
    <w:p w14:paraId="4CDF9938" w14:textId="638CF2EC" w:rsidR="00BF2E98" w:rsidRDefault="00BF2E98" w:rsidP="00BF2E98">
      <w:pPr>
        <w:rPr>
          <w:lang w:val="en-US"/>
        </w:rPr>
      </w:pPr>
      <w:r>
        <w:rPr>
          <w:lang w:val="en-US"/>
        </w:rPr>
        <w:t xml:space="preserve">The required SNR to achieve the TBLER 1% for PDCCH </w:t>
      </w:r>
      <w:r w:rsidR="00F42E95">
        <w:rPr>
          <w:lang w:val="en-US"/>
        </w:rPr>
        <w:t>with</w:t>
      </w:r>
      <w:r>
        <w:rPr>
          <w:lang w:val="en-US"/>
        </w:rPr>
        <w:t xml:space="preserve"> DCI size </w:t>
      </w:r>
      <w:r w:rsidR="001C578B">
        <w:rPr>
          <w:lang w:val="en-US"/>
        </w:rPr>
        <w:t>20 bits</w:t>
      </w:r>
      <w:r w:rsidR="00F42E95">
        <w:rPr>
          <w:lang w:val="en-US"/>
        </w:rPr>
        <w:t xml:space="preserve"> is -7.2 </w:t>
      </w:r>
      <w:proofErr w:type="spellStart"/>
      <w:r w:rsidR="00F42E95">
        <w:rPr>
          <w:lang w:val="en-US"/>
        </w:rPr>
        <w:t>dB.</w:t>
      </w:r>
      <w:proofErr w:type="spellEnd"/>
    </w:p>
    <w:p w14:paraId="3905E1DF" w14:textId="77777777" w:rsidR="00BF2E98" w:rsidRDefault="00BF2E98" w:rsidP="00BF2E98">
      <w:pPr>
        <w:rPr>
          <w:lang w:val="en-US"/>
        </w:rPr>
      </w:pPr>
    </w:p>
    <w:p w14:paraId="514B2258" w14:textId="61E06920" w:rsidR="00BF2E98" w:rsidRPr="00B13A58" w:rsidRDefault="00BF2E98" w:rsidP="00B13A58">
      <w:pPr>
        <w:rPr>
          <w:lang w:val="en-GB"/>
        </w:rPr>
      </w:pPr>
      <w:r>
        <w:rPr>
          <w:lang w:val="en-US"/>
        </w:rPr>
        <w:t xml:space="preserve">In order to evaluate the performance of PDCCH in case PFD limit is to be considered, the coverage gap is defined as below, </w:t>
      </w:r>
      <w:r w:rsidR="001F0AA4">
        <w:rPr>
          <w:lang w:val="en-US" w:eastAsia="zh-CN"/>
        </w:rPr>
        <w:t>w</w:t>
      </w:r>
      <w:r>
        <w:rPr>
          <w:lang w:val="en-US" w:eastAsia="zh-CN"/>
        </w:rPr>
        <w:t>here a positive value of coverage gap means the coverage requirement is not fulfilled:</w:t>
      </w:r>
    </w:p>
    <w:p w14:paraId="4A717B43" w14:textId="77777777" w:rsidR="00BF2E98" w:rsidRPr="007C3E36" w:rsidRDefault="00BF2E98" w:rsidP="00BF2E98">
      <w:pPr>
        <w:rPr>
          <w:lang w:val="en-US" w:eastAsia="zh-CN"/>
        </w:rPr>
      </w:pPr>
      <m:oMathPara>
        <m:oMath>
          <m:r>
            <m:rPr>
              <m:nor/>
            </m:rPr>
            <w:rPr>
              <w:rFonts w:ascii="Cambria Math" w:hAnsi="Cambria Math"/>
              <w:lang w:val="en-US" w:eastAsia="zh-CN"/>
            </w:rPr>
            <w:lastRenderedPageBreak/>
            <m:t>GAP</m:t>
          </m:r>
          <m:r>
            <w:rPr>
              <w:rFonts w:ascii="Cambria Math" w:hAnsi="Cambria Math"/>
              <w:lang w:val="en-US" w:eastAsia="zh-CN"/>
            </w:rPr>
            <m:t xml:space="preserve"> = </m:t>
          </m:r>
          <m:r>
            <m:rPr>
              <m:nor/>
            </m:rPr>
            <w:rPr>
              <w:rFonts w:ascii="Cambria Math" w:hAnsi="Cambria Math"/>
              <w:lang w:val="en-US" w:eastAsia="zh-CN"/>
            </w:rPr>
            <m:t>required SNR</m:t>
          </m:r>
          <m:r>
            <m:rPr>
              <m:sty m:val="p"/>
            </m:rPr>
            <w:rPr>
              <w:rFonts w:ascii="Cambria Math" w:hAnsi="Cambria Math"/>
              <w:lang w:val="en-US" w:eastAsia="zh-CN"/>
            </w:rPr>
            <m:t xml:space="preserve"> – </m:t>
          </m:r>
          <m:r>
            <m:rPr>
              <m:nor/>
            </m:rPr>
            <w:rPr>
              <w:rFonts w:ascii="Cambria Math" w:hAnsi="Cambria Math"/>
              <w:lang w:val="en-US" w:eastAsia="zh-CN"/>
            </w:rPr>
            <m:t>CNR</m:t>
          </m:r>
        </m:oMath>
      </m:oMathPara>
    </w:p>
    <w:p w14:paraId="581C610E" w14:textId="77777777" w:rsidR="008815BE" w:rsidRDefault="008815BE" w:rsidP="00BF2E98">
      <w:pPr>
        <w:rPr>
          <w:lang w:val="en-GB"/>
        </w:rPr>
      </w:pPr>
    </w:p>
    <w:p w14:paraId="68CEECE0" w14:textId="77777777" w:rsidR="00AD5580" w:rsidRDefault="00AD5580" w:rsidP="00BF2E98">
      <w:pPr>
        <w:rPr>
          <w:lang w:val="en-GB"/>
        </w:rPr>
      </w:pPr>
    </w:p>
    <w:p w14:paraId="22C67950" w14:textId="7C5705F1"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12</w:t>
      </w:r>
      <w:r>
        <w:fldChar w:fldCharType="end"/>
      </w:r>
      <w:r w:rsidRPr="00CF2354">
        <w:rPr>
          <w:lang w:val="en-US"/>
        </w:rPr>
        <w:t xml:space="preserve"> PDCCH Coverage Gap </w:t>
      </w:r>
      <w:r w:rsidR="000444B1">
        <w:rPr>
          <w:lang w:val="en-US"/>
        </w:rPr>
        <w:t>(BW 112RB)</w:t>
      </w:r>
    </w:p>
    <w:tbl>
      <w:tblPr>
        <w:tblW w:w="5000" w:type="pct"/>
        <w:jc w:val="center"/>
        <w:tblCellMar>
          <w:left w:w="70" w:type="dxa"/>
          <w:right w:w="70" w:type="dxa"/>
        </w:tblCellMar>
        <w:tblLook w:val="04A0" w:firstRow="1" w:lastRow="0" w:firstColumn="1" w:lastColumn="0" w:noHBand="0" w:noVBand="1"/>
      </w:tblPr>
      <w:tblGrid>
        <w:gridCol w:w="1503"/>
        <w:gridCol w:w="2369"/>
        <w:gridCol w:w="939"/>
        <w:gridCol w:w="3322"/>
        <w:gridCol w:w="1496"/>
      </w:tblGrid>
      <w:tr w:rsidR="00B31902" w14:paraId="63DB8C69" w14:textId="77777777" w:rsidTr="006A333D">
        <w:trPr>
          <w:trHeight w:val="290"/>
          <w:jc w:val="center"/>
        </w:trPr>
        <w:tc>
          <w:tcPr>
            <w:tcW w:w="9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FDFC0" w14:textId="6D6E0024"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Elevation angle</w:t>
            </w:r>
          </w:p>
        </w:tc>
        <w:tc>
          <w:tcPr>
            <w:tcW w:w="866" w:type="pct"/>
            <w:tcBorders>
              <w:top w:val="single" w:sz="4" w:space="0" w:color="auto"/>
              <w:left w:val="nil"/>
              <w:bottom w:val="single" w:sz="4" w:space="0" w:color="auto"/>
              <w:right w:val="single" w:sz="4" w:space="0" w:color="auto"/>
            </w:tcBorders>
            <w:shd w:val="clear" w:color="auto" w:fill="auto"/>
            <w:noWrap/>
            <w:vAlign w:val="bottom"/>
            <w:hideMark/>
          </w:tcPr>
          <w:p w14:paraId="1647AB35"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EIRP Density [dBW/MHz]</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567FDDA7"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CNR [dB]</w:t>
            </w:r>
          </w:p>
        </w:tc>
        <w:tc>
          <w:tcPr>
            <w:tcW w:w="1223" w:type="pct"/>
            <w:tcBorders>
              <w:top w:val="single" w:sz="4" w:space="0" w:color="auto"/>
              <w:left w:val="nil"/>
              <w:bottom w:val="single" w:sz="4" w:space="0" w:color="auto"/>
              <w:right w:val="single" w:sz="4" w:space="0" w:color="auto"/>
            </w:tcBorders>
            <w:shd w:val="clear" w:color="auto" w:fill="auto"/>
            <w:noWrap/>
            <w:vAlign w:val="bottom"/>
            <w:hideMark/>
          </w:tcPr>
          <w:p w14:paraId="026741DD" w14:textId="7B9B1F2E" w:rsidR="00B31902" w:rsidRPr="00B31902" w:rsidRDefault="00B31902" w:rsidP="00AD4088">
            <w:pPr>
              <w:jc w:val="center"/>
              <w:rPr>
                <w:rFonts w:ascii="Calibri" w:hAnsi="Calibri" w:cs="Calibri"/>
                <w:color w:val="000000"/>
                <w:sz w:val="22"/>
                <w:szCs w:val="22"/>
                <w:lang w:val="en-US"/>
              </w:rPr>
            </w:pPr>
            <w:r w:rsidRPr="00B31902">
              <w:rPr>
                <w:rFonts w:ascii="Calibri" w:hAnsi="Calibri" w:cs="Calibri"/>
                <w:color w:val="000000"/>
                <w:sz w:val="22"/>
                <w:szCs w:val="22"/>
                <w:lang w:val="en-US"/>
              </w:rPr>
              <w:t xml:space="preserve">Required SNR [dB] (DCI Size </w:t>
            </w:r>
            <w:r w:rsidR="00192628">
              <w:rPr>
                <w:rFonts w:ascii="Calibri" w:hAnsi="Calibri" w:cs="Calibri"/>
                <w:color w:val="000000"/>
                <w:sz w:val="22"/>
                <w:szCs w:val="22"/>
                <w:lang w:val="en-US"/>
              </w:rPr>
              <w:t>2</w:t>
            </w:r>
            <w:r w:rsidRPr="00B31902">
              <w:rPr>
                <w:rFonts w:ascii="Calibri" w:hAnsi="Calibri" w:cs="Calibri"/>
                <w:color w:val="000000"/>
                <w:sz w:val="22"/>
                <w:szCs w:val="22"/>
                <w:lang w:val="en-US"/>
              </w:rPr>
              <w:t>0 bits)</w:t>
            </w:r>
          </w:p>
        </w:tc>
        <w:tc>
          <w:tcPr>
            <w:tcW w:w="1223" w:type="pct"/>
            <w:tcBorders>
              <w:top w:val="single" w:sz="4" w:space="0" w:color="auto"/>
              <w:left w:val="nil"/>
              <w:bottom w:val="single" w:sz="4" w:space="0" w:color="auto"/>
              <w:right w:val="single" w:sz="4" w:space="0" w:color="auto"/>
            </w:tcBorders>
            <w:shd w:val="clear" w:color="auto" w:fill="auto"/>
            <w:noWrap/>
            <w:vAlign w:val="bottom"/>
            <w:hideMark/>
          </w:tcPr>
          <w:p w14:paraId="4E5667DE"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Gap [dB]</w:t>
            </w:r>
          </w:p>
        </w:tc>
      </w:tr>
      <w:tr w:rsidR="00B31902" w14:paraId="6C01D7F4"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78A6840A"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5°</w:t>
            </w:r>
          </w:p>
        </w:tc>
        <w:tc>
          <w:tcPr>
            <w:tcW w:w="866" w:type="pct"/>
            <w:tcBorders>
              <w:top w:val="nil"/>
              <w:left w:val="nil"/>
              <w:bottom w:val="single" w:sz="4" w:space="0" w:color="auto"/>
              <w:right w:val="single" w:sz="4" w:space="0" w:color="auto"/>
            </w:tcBorders>
            <w:shd w:val="clear" w:color="auto" w:fill="auto"/>
            <w:noWrap/>
            <w:vAlign w:val="bottom"/>
            <w:hideMark/>
          </w:tcPr>
          <w:p w14:paraId="2724630E"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15.3318</w:t>
            </w:r>
          </w:p>
        </w:tc>
        <w:tc>
          <w:tcPr>
            <w:tcW w:w="779" w:type="pct"/>
            <w:tcBorders>
              <w:top w:val="nil"/>
              <w:left w:val="nil"/>
              <w:bottom w:val="single" w:sz="4" w:space="0" w:color="auto"/>
              <w:right w:val="single" w:sz="4" w:space="0" w:color="auto"/>
            </w:tcBorders>
            <w:shd w:val="clear" w:color="auto" w:fill="auto"/>
            <w:noWrap/>
            <w:vAlign w:val="bottom"/>
            <w:hideMark/>
          </w:tcPr>
          <w:p w14:paraId="39F8C775"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-22.6782</w:t>
            </w:r>
          </w:p>
        </w:tc>
        <w:tc>
          <w:tcPr>
            <w:tcW w:w="1223" w:type="pct"/>
            <w:tcBorders>
              <w:top w:val="nil"/>
              <w:left w:val="nil"/>
              <w:bottom w:val="single" w:sz="4" w:space="0" w:color="auto"/>
              <w:right w:val="single" w:sz="4" w:space="0" w:color="auto"/>
            </w:tcBorders>
            <w:shd w:val="clear" w:color="auto" w:fill="auto"/>
            <w:noWrap/>
            <w:vAlign w:val="bottom"/>
            <w:hideMark/>
          </w:tcPr>
          <w:p w14:paraId="1808B643" w14:textId="7A71EA8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2144EB41" w14:textId="17A3842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w:t>
            </w:r>
            <w:r w:rsidR="00F42E95">
              <w:rPr>
                <w:rFonts w:ascii="Calibri" w:hAnsi="Calibri" w:cs="Calibri"/>
                <w:color w:val="000000"/>
                <w:sz w:val="22"/>
                <w:szCs w:val="22"/>
              </w:rPr>
              <w:t>5.5</w:t>
            </w:r>
          </w:p>
        </w:tc>
      </w:tr>
      <w:tr w:rsidR="00B31902" w14:paraId="2329B215"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1DC6A673"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10°</w:t>
            </w:r>
          </w:p>
        </w:tc>
        <w:tc>
          <w:tcPr>
            <w:tcW w:w="866" w:type="pct"/>
            <w:tcBorders>
              <w:top w:val="nil"/>
              <w:left w:val="nil"/>
              <w:bottom w:val="single" w:sz="4" w:space="0" w:color="auto"/>
              <w:right w:val="single" w:sz="4" w:space="0" w:color="auto"/>
            </w:tcBorders>
            <w:shd w:val="clear" w:color="auto" w:fill="auto"/>
            <w:noWrap/>
            <w:vAlign w:val="bottom"/>
            <w:hideMark/>
          </w:tcPr>
          <w:p w14:paraId="68EC5886"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16.2122</w:t>
            </w:r>
          </w:p>
        </w:tc>
        <w:tc>
          <w:tcPr>
            <w:tcW w:w="779" w:type="pct"/>
            <w:tcBorders>
              <w:top w:val="nil"/>
              <w:left w:val="nil"/>
              <w:bottom w:val="single" w:sz="4" w:space="0" w:color="auto"/>
              <w:right w:val="single" w:sz="4" w:space="0" w:color="auto"/>
            </w:tcBorders>
            <w:shd w:val="clear" w:color="auto" w:fill="auto"/>
            <w:noWrap/>
            <w:vAlign w:val="bottom"/>
            <w:hideMark/>
          </w:tcPr>
          <w:p w14:paraId="4E0D0936"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-21.6778</w:t>
            </w:r>
          </w:p>
        </w:tc>
        <w:tc>
          <w:tcPr>
            <w:tcW w:w="1223" w:type="pct"/>
            <w:tcBorders>
              <w:top w:val="nil"/>
              <w:left w:val="nil"/>
              <w:bottom w:val="single" w:sz="4" w:space="0" w:color="auto"/>
              <w:right w:val="single" w:sz="4" w:space="0" w:color="auto"/>
            </w:tcBorders>
            <w:shd w:val="clear" w:color="auto" w:fill="auto"/>
            <w:noWrap/>
            <w:vAlign w:val="bottom"/>
            <w:hideMark/>
          </w:tcPr>
          <w:p w14:paraId="6527321C" w14:textId="3F37EAB0"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2BBA3FAE" w14:textId="75CDA970" w:rsidR="00B31902" w:rsidRDefault="00D41068" w:rsidP="00AD4088">
            <w:pPr>
              <w:jc w:val="center"/>
              <w:rPr>
                <w:rFonts w:ascii="Calibri" w:hAnsi="Calibri" w:cs="Calibri"/>
                <w:color w:val="000000"/>
                <w:sz w:val="22"/>
                <w:szCs w:val="22"/>
              </w:rPr>
            </w:pPr>
            <w:r>
              <w:rPr>
                <w:rFonts w:ascii="Calibri" w:hAnsi="Calibri" w:cs="Calibri"/>
                <w:color w:val="000000"/>
                <w:sz w:val="22"/>
                <w:szCs w:val="22"/>
              </w:rPr>
              <w:t>14</w:t>
            </w:r>
            <w:r w:rsidR="00F42E95">
              <w:rPr>
                <w:rFonts w:ascii="Calibri" w:hAnsi="Calibri" w:cs="Calibri"/>
                <w:color w:val="000000"/>
                <w:sz w:val="22"/>
                <w:szCs w:val="22"/>
              </w:rPr>
              <w:t>.5</w:t>
            </w:r>
          </w:p>
        </w:tc>
      </w:tr>
      <w:tr w:rsidR="00B31902" w14:paraId="3647ABBC"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11A18821"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25°</w:t>
            </w:r>
          </w:p>
        </w:tc>
        <w:tc>
          <w:tcPr>
            <w:tcW w:w="866" w:type="pct"/>
            <w:tcBorders>
              <w:top w:val="nil"/>
              <w:left w:val="nil"/>
              <w:bottom w:val="single" w:sz="4" w:space="0" w:color="auto"/>
              <w:right w:val="single" w:sz="4" w:space="0" w:color="auto"/>
            </w:tcBorders>
            <w:shd w:val="clear" w:color="auto" w:fill="auto"/>
            <w:noWrap/>
            <w:vAlign w:val="bottom"/>
            <w:hideMark/>
          </w:tcPr>
          <w:p w14:paraId="7CF00BD0"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19.6693</w:t>
            </w:r>
          </w:p>
        </w:tc>
        <w:tc>
          <w:tcPr>
            <w:tcW w:w="779" w:type="pct"/>
            <w:tcBorders>
              <w:top w:val="nil"/>
              <w:left w:val="nil"/>
              <w:bottom w:val="single" w:sz="4" w:space="0" w:color="auto"/>
              <w:right w:val="single" w:sz="4" w:space="0" w:color="auto"/>
            </w:tcBorders>
            <w:shd w:val="clear" w:color="auto" w:fill="auto"/>
            <w:noWrap/>
            <w:vAlign w:val="bottom"/>
            <w:hideMark/>
          </w:tcPr>
          <w:p w14:paraId="200222C0"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-13.8807</w:t>
            </w:r>
          </w:p>
        </w:tc>
        <w:tc>
          <w:tcPr>
            <w:tcW w:w="1223" w:type="pct"/>
            <w:tcBorders>
              <w:top w:val="nil"/>
              <w:left w:val="nil"/>
              <w:bottom w:val="single" w:sz="4" w:space="0" w:color="auto"/>
              <w:right w:val="single" w:sz="4" w:space="0" w:color="auto"/>
            </w:tcBorders>
            <w:shd w:val="clear" w:color="auto" w:fill="auto"/>
            <w:noWrap/>
            <w:vAlign w:val="bottom"/>
            <w:hideMark/>
          </w:tcPr>
          <w:p w14:paraId="0CFBE0B7" w14:textId="6ADCB7A1"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35E89277" w14:textId="19704341" w:rsidR="00B31902" w:rsidRDefault="00F42E95" w:rsidP="00AD4088">
            <w:pPr>
              <w:jc w:val="center"/>
              <w:rPr>
                <w:rFonts w:ascii="Calibri" w:hAnsi="Calibri" w:cs="Calibri"/>
                <w:color w:val="000000"/>
                <w:sz w:val="22"/>
                <w:szCs w:val="22"/>
              </w:rPr>
            </w:pPr>
            <w:r>
              <w:rPr>
                <w:rFonts w:ascii="Calibri" w:hAnsi="Calibri" w:cs="Calibri"/>
                <w:color w:val="000000"/>
                <w:sz w:val="22"/>
                <w:szCs w:val="22"/>
              </w:rPr>
              <w:t>6.7</w:t>
            </w:r>
          </w:p>
        </w:tc>
      </w:tr>
      <w:tr w:rsidR="00B31902" w14:paraId="2C6B6FB7"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7694103A"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30°</w:t>
            </w:r>
          </w:p>
        </w:tc>
        <w:tc>
          <w:tcPr>
            <w:tcW w:w="866" w:type="pct"/>
            <w:tcBorders>
              <w:top w:val="nil"/>
              <w:left w:val="nil"/>
              <w:bottom w:val="single" w:sz="4" w:space="0" w:color="auto"/>
              <w:right w:val="single" w:sz="4" w:space="0" w:color="auto"/>
            </w:tcBorders>
            <w:shd w:val="clear" w:color="auto" w:fill="auto"/>
            <w:noWrap/>
            <w:vAlign w:val="bottom"/>
            <w:hideMark/>
          </w:tcPr>
          <w:p w14:paraId="293F8578"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18.6203</w:t>
            </w:r>
          </w:p>
        </w:tc>
        <w:tc>
          <w:tcPr>
            <w:tcW w:w="779" w:type="pct"/>
            <w:tcBorders>
              <w:top w:val="nil"/>
              <w:left w:val="nil"/>
              <w:bottom w:val="single" w:sz="4" w:space="0" w:color="auto"/>
              <w:right w:val="single" w:sz="4" w:space="0" w:color="auto"/>
            </w:tcBorders>
            <w:shd w:val="clear" w:color="auto" w:fill="auto"/>
            <w:noWrap/>
            <w:vAlign w:val="bottom"/>
            <w:hideMark/>
          </w:tcPr>
          <w:p w14:paraId="04F024F0"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-13.7797</w:t>
            </w:r>
          </w:p>
        </w:tc>
        <w:tc>
          <w:tcPr>
            <w:tcW w:w="1223" w:type="pct"/>
            <w:tcBorders>
              <w:top w:val="nil"/>
              <w:left w:val="nil"/>
              <w:bottom w:val="single" w:sz="4" w:space="0" w:color="auto"/>
              <w:right w:val="single" w:sz="4" w:space="0" w:color="auto"/>
            </w:tcBorders>
            <w:shd w:val="clear" w:color="auto" w:fill="auto"/>
            <w:noWrap/>
            <w:vAlign w:val="bottom"/>
            <w:hideMark/>
          </w:tcPr>
          <w:p w14:paraId="0BC5C496" w14:textId="04F4AA1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3D136737" w14:textId="53E0B5B9" w:rsidR="00B31902" w:rsidRDefault="00F42E95" w:rsidP="00AD4088">
            <w:pPr>
              <w:jc w:val="center"/>
              <w:rPr>
                <w:rFonts w:ascii="Calibri" w:hAnsi="Calibri" w:cs="Calibri"/>
                <w:color w:val="000000"/>
                <w:sz w:val="22"/>
                <w:szCs w:val="22"/>
              </w:rPr>
            </w:pPr>
            <w:r>
              <w:rPr>
                <w:rFonts w:ascii="Calibri" w:hAnsi="Calibri" w:cs="Calibri"/>
                <w:color w:val="000000"/>
                <w:sz w:val="22"/>
                <w:szCs w:val="22"/>
              </w:rPr>
              <w:t>6.5</w:t>
            </w:r>
          </w:p>
        </w:tc>
      </w:tr>
      <w:tr w:rsidR="00B31902" w14:paraId="00527143"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30A984F1"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60°</w:t>
            </w:r>
          </w:p>
        </w:tc>
        <w:tc>
          <w:tcPr>
            <w:tcW w:w="866" w:type="pct"/>
            <w:tcBorders>
              <w:top w:val="nil"/>
              <w:left w:val="nil"/>
              <w:bottom w:val="single" w:sz="4" w:space="0" w:color="auto"/>
              <w:right w:val="single" w:sz="4" w:space="0" w:color="auto"/>
            </w:tcBorders>
            <w:shd w:val="clear" w:color="auto" w:fill="auto"/>
            <w:noWrap/>
            <w:vAlign w:val="bottom"/>
            <w:hideMark/>
          </w:tcPr>
          <w:p w14:paraId="725DD3A3"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14.6805</w:t>
            </w:r>
          </w:p>
        </w:tc>
        <w:tc>
          <w:tcPr>
            <w:tcW w:w="779" w:type="pct"/>
            <w:tcBorders>
              <w:top w:val="nil"/>
              <w:left w:val="nil"/>
              <w:bottom w:val="single" w:sz="4" w:space="0" w:color="auto"/>
              <w:right w:val="single" w:sz="4" w:space="0" w:color="auto"/>
            </w:tcBorders>
            <w:shd w:val="clear" w:color="auto" w:fill="auto"/>
            <w:noWrap/>
            <w:vAlign w:val="bottom"/>
            <w:hideMark/>
          </w:tcPr>
          <w:p w14:paraId="148CF600"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-13.6195</w:t>
            </w:r>
          </w:p>
        </w:tc>
        <w:tc>
          <w:tcPr>
            <w:tcW w:w="1223" w:type="pct"/>
            <w:tcBorders>
              <w:top w:val="nil"/>
              <w:left w:val="nil"/>
              <w:bottom w:val="single" w:sz="4" w:space="0" w:color="auto"/>
              <w:right w:val="single" w:sz="4" w:space="0" w:color="auto"/>
            </w:tcBorders>
            <w:shd w:val="clear" w:color="auto" w:fill="auto"/>
            <w:noWrap/>
            <w:vAlign w:val="bottom"/>
            <w:hideMark/>
          </w:tcPr>
          <w:p w14:paraId="7EC6131F" w14:textId="2C5AEF9C"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0FD88426" w14:textId="43057D7A" w:rsidR="00B31902" w:rsidRDefault="00F42E95" w:rsidP="00AD4088">
            <w:pPr>
              <w:jc w:val="center"/>
              <w:rPr>
                <w:rFonts w:ascii="Calibri" w:hAnsi="Calibri" w:cs="Calibri"/>
                <w:color w:val="000000"/>
                <w:sz w:val="22"/>
                <w:szCs w:val="22"/>
              </w:rPr>
            </w:pPr>
            <w:r>
              <w:rPr>
                <w:rFonts w:ascii="Calibri" w:hAnsi="Calibri" w:cs="Calibri"/>
                <w:color w:val="000000"/>
                <w:sz w:val="22"/>
                <w:szCs w:val="22"/>
              </w:rPr>
              <w:t>6.4</w:t>
            </w:r>
          </w:p>
        </w:tc>
      </w:tr>
      <w:tr w:rsidR="00B31902" w14:paraId="3548E8D7" w14:textId="77777777" w:rsidTr="006A333D">
        <w:trPr>
          <w:trHeight w:val="290"/>
          <w:jc w:val="center"/>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75CFC771"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90°</w:t>
            </w:r>
          </w:p>
        </w:tc>
        <w:tc>
          <w:tcPr>
            <w:tcW w:w="866" w:type="pct"/>
            <w:tcBorders>
              <w:top w:val="nil"/>
              <w:left w:val="nil"/>
              <w:bottom w:val="single" w:sz="4" w:space="0" w:color="auto"/>
              <w:right w:val="single" w:sz="4" w:space="0" w:color="auto"/>
            </w:tcBorders>
            <w:shd w:val="clear" w:color="auto" w:fill="auto"/>
            <w:noWrap/>
            <w:vAlign w:val="bottom"/>
            <w:hideMark/>
          </w:tcPr>
          <w:p w14:paraId="3F232B6B"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13.5551</w:t>
            </w:r>
          </w:p>
        </w:tc>
        <w:tc>
          <w:tcPr>
            <w:tcW w:w="779" w:type="pct"/>
            <w:tcBorders>
              <w:top w:val="nil"/>
              <w:left w:val="nil"/>
              <w:bottom w:val="single" w:sz="4" w:space="0" w:color="auto"/>
              <w:right w:val="single" w:sz="4" w:space="0" w:color="auto"/>
            </w:tcBorders>
            <w:shd w:val="clear" w:color="auto" w:fill="auto"/>
            <w:noWrap/>
            <w:vAlign w:val="bottom"/>
            <w:hideMark/>
          </w:tcPr>
          <w:p w14:paraId="4345895A" w14:textId="77777777"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-13.7449</w:t>
            </w:r>
          </w:p>
        </w:tc>
        <w:tc>
          <w:tcPr>
            <w:tcW w:w="1223" w:type="pct"/>
            <w:tcBorders>
              <w:top w:val="nil"/>
              <w:left w:val="nil"/>
              <w:bottom w:val="single" w:sz="4" w:space="0" w:color="auto"/>
              <w:right w:val="single" w:sz="4" w:space="0" w:color="auto"/>
            </w:tcBorders>
            <w:shd w:val="clear" w:color="auto" w:fill="auto"/>
            <w:noWrap/>
            <w:vAlign w:val="bottom"/>
            <w:hideMark/>
          </w:tcPr>
          <w:p w14:paraId="5DB32799" w14:textId="1C60C61C" w:rsidR="00B31902" w:rsidRDefault="00B31902" w:rsidP="00AD4088">
            <w:pPr>
              <w:jc w:val="center"/>
              <w:rPr>
                <w:rFonts w:ascii="Calibri" w:hAnsi="Calibri" w:cs="Calibri"/>
                <w:color w:val="000000"/>
                <w:sz w:val="22"/>
                <w:szCs w:val="22"/>
              </w:rPr>
            </w:pPr>
            <w:r>
              <w:rPr>
                <w:rFonts w:ascii="Calibri" w:hAnsi="Calibri" w:cs="Calibri"/>
                <w:color w:val="000000"/>
                <w:sz w:val="22"/>
                <w:szCs w:val="22"/>
              </w:rPr>
              <w:t>-</w:t>
            </w:r>
            <w:r w:rsidR="00F42E95">
              <w:rPr>
                <w:rFonts w:ascii="Calibri" w:hAnsi="Calibri" w:cs="Calibri"/>
                <w:color w:val="000000"/>
                <w:sz w:val="22"/>
                <w:szCs w:val="22"/>
              </w:rPr>
              <w:t>7.2</w:t>
            </w:r>
          </w:p>
        </w:tc>
        <w:tc>
          <w:tcPr>
            <w:tcW w:w="1223" w:type="pct"/>
            <w:tcBorders>
              <w:top w:val="nil"/>
              <w:left w:val="nil"/>
              <w:bottom w:val="single" w:sz="4" w:space="0" w:color="auto"/>
              <w:right w:val="single" w:sz="4" w:space="0" w:color="auto"/>
            </w:tcBorders>
            <w:shd w:val="clear" w:color="auto" w:fill="auto"/>
            <w:noWrap/>
            <w:vAlign w:val="bottom"/>
            <w:hideMark/>
          </w:tcPr>
          <w:p w14:paraId="3D02F39F" w14:textId="2CAE0442" w:rsidR="00B31902" w:rsidRDefault="00F42E95" w:rsidP="00AD4088">
            <w:pPr>
              <w:jc w:val="center"/>
              <w:rPr>
                <w:rFonts w:ascii="Calibri" w:hAnsi="Calibri" w:cs="Calibri"/>
                <w:color w:val="000000"/>
                <w:sz w:val="22"/>
                <w:szCs w:val="22"/>
              </w:rPr>
            </w:pPr>
            <w:r>
              <w:rPr>
                <w:rFonts w:ascii="Calibri" w:hAnsi="Calibri" w:cs="Calibri"/>
                <w:color w:val="000000"/>
                <w:sz w:val="22"/>
                <w:szCs w:val="22"/>
              </w:rPr>
              <w:t>6.5</w:t>
            </w:r>
          </w:p>
        </w:tc>
      </w:tr>
    </w:tbl>
    <w:p w14:paraId="68695AF4" w14:textId="02674CD9" w:rsidR="00B31902" w:rsidRDefault="00B31902" w:rsidP="00E22C00">
      <w:pPr>
        <w:jc w:val="center"/>
        <w:rPr>
          <w:lang w:val="en-GB"/>
        </w:rPr>
      </w:pPr>
    </w:p>
    <w:p w14:paraId="6E93D9A8" w14:textId="20420C39" w:rsidR="00FE3DBA" w:rsidRDefault="00FE3DBA" w:rsidP="00290CCC">
      <w:pPr>
        <w:rPr>
          <w:lang w:val="en-GB"/>
        </w:rPr>
      </w:pPr>
    </w:p>
    <w:p w14:paraId="149CBC62" w14:textId="75337CD3"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Pr>
          <w:noProof/>
          <w:lang w:val="en-US"/>
        </w:rPr>
        <w:t>13</w:t>
      </w:r>
      <w:r>
        <w:fldChar w:fldCharType="end"/>
      </w:r>
      <w:r w:rsidRPr="00CF2354">
        <w:rPr>
          <w:lang w:val="en-US"/>
        </w:rPr>
        <w:t xml:space="preserve"> PDCCH Link-Level Simulation Parameters 2</w:t>
      </w:r>
    </w:p>
    <w:tbl>
      <w:tblPr>
        <w:tblW w:w="5183" w:type="dxa"/>
        <w:jc w:val="center"/>
        <w:tblCellMar>
          <w:left w:w="70" w:type="dxa"/>
          <w:right w:w="70" w:type="dxa"/>
        </w:tblCellMar>
        <w:tblLook w:val="04A0" w:firstRow="1" w:lastRow="0" w:firstColumn="1" w:lastColumn="0" w:noHBand="0" w:noVBand="1"/>
      </w:tblPr>
      <w:tblGrid>
        <w:gridCol w:w="2783"/>
        <w:gridCol w:w="2400"/>
      </w:tblGrid>
      <w:tr w:rsidR="00E22C00" w14:paraId="59C234FB" w14:textId="77777777" w:rsidTr="00E22C00">
        <w:trPr>
          <w:trHeight w:val="290"/>
          <w:jc w:val="center"/>
        </w:trPr>
        <w:tc>
          <w:tcPr>
            <w:tcW w:w="2783"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748ACE94" w14:textId="77777777" w:rsidR="00E22C00" w:rsidRDefault="00E22C00">
            <w:pPr>
              <w:jc w:val="center"/>
              <w:rPr>
                <w:rFonts w:ascii="Calibri" w:hAnsi="Calibri" w:cs="Calibri"/>
                <w:b/>
                <w:bCs/>
                <w:color w:val="000000"/>
                <w:sz w:val="22"/>
                <w:szCs w:val="22"/>
              </w:rPr>
            </w:pPr>
            <w:r>
              <w:rPr>
                <w:rFonts w:ascii="Calibri" w:hAnsi="Calibri" w:cs="Calibri"/>
                <w:b/>
                <w:bCs/>
                <w:color w:val="000000"/>
                <w:sz w:val="22"/>
                <w:szCs w:val="22"/>
                <w:lang w:val="en-GB"/>
              </w:rPr>
              <w:t>Parameter</w:t>
            </w:r>
          </w:p>
        </w:tc>
        <w:tc>
          <w:tcPr>
            <w:tcW w:w="2400" w:type="dxa"/>
            <w:tcBorders>
              <w:top w:val="single" w:sz="4" w:space="0" w:color="auto"/>
              <w:left w:val="nil"/>
              <w:bottom w:val="single" w:sz="4" w:space="0" w:color="auto"/>
              <w:right w:val="single" w:sz="4" w:space="0" w:color="auto"/>
            </w:tcBorders>
            <w:shd w:val="clear" w:color="000000" w:fill="B4C6E7"/>
            <w:noWrap/>
            <w:vAlign w:val="bottom"/>
            <w:hideMark/>
          </w:tcPr>
          <w:p w14:paraId="0C23F031" w14:textId="77777777" w:rsidR="00E22C00" w:rsidRDefault="00E22C00">
            <w:pPr>
              <w:jc w:val="center"/>
              <w:rPr>
                <w:rFonts w:ascii="Calibri" w:hAnsi="Calibri" w:cs="Calibri"/>
                <w:b/>
                <w:bCs/>
                <w:color w:val="000000"/>
                <w:sz w:val="22"/>
                <w:szCs w:val="22"/>
              </w:rPr>
            </w:pPr>
            <w:r>
              <w:rPr>
                <w:rFonts w:ascii="Calibri" w:hAnsi="Calibri" w:cs="Calibri"/>
                <w:b/>
                <w:bCs/>
                <w:color w:val="000000"/>
                <w:sz w:val="22"/>
                <w:szCs w:val="22"/>
                <w:lang w:val="en-GB"/>
              </w:rPr>
              <w:t>Value</w:t>
            </w:r>
          </w:p>
        </w:tc>
      </w:tr>
      <w:tr w:rsidR="00E22C00" w14:paraId="6FC28AF4"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0A776F55"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SCS</w:t>
            </w:r>
          </w:p>
        </w:tc>
        <w:tc>
          <w:tcPr>
            <w:tcW w:w="2400" w:type="dxa"/>
            <w:tcBorders>
              <w:top w:val="nil"/>
              <w:left w:val="nil"/>
              <w:bottom w:val="single" w:sz="4" w:space="0" w:color="auto"/>
              <w:right w:val="single" w:sz="4" w:space="0" w:color="auto"/>
            </w:tcBorders>
            <w:shd w:val="clear" w:color="auto" w:fill="auto"/>
            <w:noWrap/>
            <w:vAlign w:val="bottom"/>
            <w:hideMark/>
          </w:tcPr>
          <w:p w14:paraId="22F6C3CE"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15 kHz</w:t>
            </w:r>
          </w:p>
        </w:tc>
      </w:tr>
      <w:tr w:rsidR="00E22C00" w14:paraId="3D0B5513"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155999AC"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 xml:space="preserve">BWP </w:t>
            </w:r>
          </w:p>
        </w:tc>
        <w:tc>
          <w:tcPr>
            <w:tcW w:w="2400" w:type="dxa"/>
            <w:tcBorders>
              <w:top w:val="nil"/>
              <w:left w:val="nil"/>
              <w:bottom w:val="single" w:sz="4" w:space="0" w:color="auto"/>
              <w:right w:val="single" w:sz="4" w:space="0" w:color="auto"/>
            </w:tcBorders>
            <w:shd w:val="clear" w:color="auto" w:fill="auto"/>
            <w:noWrap/>
            <w:vAlign w:val="bottom"/>
            <w:hideMark/>
          </w:tcPr>
          <w:p w14:paraId="296905AC"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48 PRBs</w:t>
            </w:r>
          </w:p>
        </w:tc>
      </w:tr>
      <w:tr w:rsidR="00E22C00" w14:paraId="67F62DC7"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76CB9F94"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AL</w:t>
            </w:r>
          </w:p>
        </w:tc>
        <w:tc>
          <w:tcPr>
            <w:tcW w:w="2400" w:type="dxa"/>
            <w:tcBorders>
              <w:top w:val="nil"/>
              <w:left w:val="nil"/>
              <w:bottom w:val="single" w:sz="4" w:space="0" w:color="auto"/>
              <w:right w:val="single" w:sz="4" w:space="0" w:color="auto"/>
            </w:tcBorders>
            <w:shd w:val="clear" w:color="auto" w:fill="auto"/>
            <w:noWrap/>
            <w:vAlign w:val="bottom"/>
            <w:hideMark/>
          </w:tcPr>
          <w:p w14:paraId="7CB5DD42"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16</w:t>
            </w:r>
          </w:p>
        </w:tc>
      </w:tr>
      <w:tr w:rsidR="00E22C00" w14:paraId="1EDAF904"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6A470E6C"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CORESET size</w:t>
            </w:r>
          </w:p>
        </w:tc>
        <w:tc>
          <w:tcPr>
            <w:tcW w:w="2400" w:type="dxa"/>
            <w:tcBorders>
              <w:top w:val="nil"/>
              <w:left w:val="nil"/>
              <w:bottom w:val="single" w:sz="4" w:space="0" w:color="auto"/>
              <w:right w:val="single" w:sz="4" w:space="0" w:color="auto"/>
            </w:tcBorders>
            <w:shd w:val="clear" w:color="auto" w:fill="auto"/>
            <w:noWrap/>
            <w:vAlign w:val="bottom"/>
            <w:hideMark/>
          </w:tcPr>
          <w:p w14:paraId="43012AFD"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2 symbols, 48 PRBs</w:t>
            </w:r>
          </w:p>
        </w:tc>
      </w:tr>
      <w:tr w:rsidR="00E22C00" w14:paraId="198515E2"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518FBE68"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Target BLER</w:t>
            </w:r>
          </w:p>
        </w:tc>
        <w:tc>
          <w:tcPr>
            <w:tcW w:w="2400" w:type="dxa"/>
            <w:tcBorders>
              <w:top w:val="nil"/>
              <w:left w:val="nil"/>
              <w:bottom w:val="single" w:sz="4" w:space="0" w:color="auto"/>
              <w:right w:val="single" w:sz="4" w:space="0" w:color="auto"/>
            </w:tcBorders>
            <w:shd w:val="clear" w:color="auto" w:fill="auto"/>
            <w:noWrap/>
            <w:vAlign w:val="bottom"/>
            <w:hideMark/>
          </w:tcPr>
          <w:p w14:paraId="12887F37" w14:textId="77777777" w:rsidR="00E22C00" w:rsidRDefault="00E22C00">
            <w:pPr>
              <w:jc w:val="center"/>
              <w:rPr>
                <w:rFonts w:ascii="Calibri" w:hAnsi="Calibri" w:cs="Calibri"/>
                <w:color w:val="000000"/>
                <w:sz w:val="22"/>
                <w:szCs w:val="22"/>
              </w:rPr>
            </w:pPr>
            <w:r>
              <w:rPr>
                <w:rFonts w:ascii="Calibri" w:hAnsi="Calibri" w:cs="Calibri"/>
                <w:color w:val="000000"/>
                <w:sz w:val="22"/>
                <w:szCs w:val="22"/>
                <w:lang w:val="en-GB"/>
              </w:rPr>
              <w:t>1% BLER</w:t>
            </w:r>
          </w:p>
        </w:tc>
      </w:tr>
      <w:tr w:rsidR="00E22C00" w14:paraId="64DAFDBC"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21A53BB9"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 xml:space="preserve">Number of </w:t>
            </w:r>
            <w:proofErr w:type="spellStart"/>
            <w:r>
              <w:rPr>
                <w:rFonts w:ascii="Calibri" w:hAnsi="Calibri" w:cs="Calibri"/>
                <w:color w:val="000000"/>
                <w:sz w:val="22"/>
                <w:szCs w:val="22"/>
              </w:rPr>
              <w:t>Rx</w:t>
            </w:r>
            <w:proofErr w:type="spellEnd"/>
          </w:p>
        </w:tc>
        <w:tc>
          <w:tcPr>
            <w:tcW w:w="2400" w:type="dxa"/>
            <w:tcBorders>
              <w:top w:val="nil"/>
              <w:left w:val="nil"/>
              <w:bottom w:val="single" w:sz="4" w:space="0" w:color="auto"/>
              <w:right w:val="single" w:sz="4" w:space="0" w:color="auto"/>
            </w:tcBorders>
            <w:shd w:val="clear" w:color="auto" w:fill="auto"/>
            <w:noWrap/>
            <w:vAlign w:val="bottom"/>
            <w:hideMark/>
          </w:tcPr>
          <w:p w14:paraId="5AF0D9A9"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2</w:t>
            </w:r>
          </w:p>
        </w:tc>
      </w:tr>
      <w:tr w:rsidR="00E22C00" w14:paraId="49C45A9B" w14:textId="77777777" w:rsidTr="00E22C00">
        <w:trPr>
          <w:trHeight w:val="290"/>
          <w:jc w:val="center"/>
        </w:trPr>
        <w:tc>
          <w:tcPr>
            <w:tcW w:w="2783" w:type="dxa"/>
            <w:tcBorders>
              <w:top w:val="nil"/>
              <w:left w:val="single" w:sz="4" w:space="0" w:color="auto"/>
              <w:bottom w:val="single" w:sz="4" w:space="0" w:color="auto"/>
              <w:right w:val="single" w:sz="4" w:space="0" w:color="auto"/>
            </w:tcBorders>
            <w:shd w:val="clear" w:color="auto" w:fill="auto"/>
            <w:noWrap/>
            <w:vAlign w:val="bottom"/>
            <w:hideMark/>
          </w:tcPr>
          <w:p w14:paraId="4045113B"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Channel</w:t>
            </w:r>
          </w:p>
        </w:tc>
        <w:tc>
          <w:tcPr>
            <w:tcW w:w="2400" w:type="dxa"/>
            <w:tcBorders>
              <w:top w:val="nil"/>
              <w:left w:val="nil"/>
              <w:bottom w:val="single" w:sz="4" w:space="0" w:color="auto"/>
              <w:right w:val="single" w:sz="4" w:space="0" w:color="auto"/>
            </w:tcBorders>
            <w:shd w:val="clear" w:color="auto" w:fill="auto"/>
            <w:noWrap/>
            <w:vAlign w:val="bottom"/>
            <w:hideMark/>
          </w:tcPr>
          <w:p w14:paraId="34B2C88B" w14:textId="77777777" w:rsidR="00E22C00" w:rsidRDefault="00E22C00">
            <w:pPr>
              <w:jc w:val="center"/>
              <w:rPr>
                <w:rFonts w:ascii="Calibri" w:hAnsi="Calibri" w:cs="Calibri"/>
                <w:color w:val="000000"/>
                <w:sz w:val="22"/>
                <w:szCs w:val="22"/>
              </w:rPr>
            </w:pPr>
            <w:r>
              <w:rPr>
                <w:rFonts w:ascii="Calibri" w:hAnsi="Calibri" w:cs="Calibri"/>
                <w:color w:val="000000"/>
                <w:sz w:val="22"/>
                <w:szCs w:val="22"/>
              </w:rPr>
              <w:t>TDL-C 100ns</w:t>
            </w:r>
          </w:p>
        </w:tc>
      </w:tr>
    </w:tbl>
    <w:p w14:paraId="41886089" w14:textId="77777777" w:rsidR="00E22C00" w:rsidRDefault="00E22C00" w:rsidP="00290CCC">
      <w:pPr>
        <w:rPr>
          <w:lang w:val="en-GB"/>
        </w:rPr>
      </w:pPr>
    </w:p>
    <w:p w14:paraId="173D7887" w14:textId="77777777" w:rsidR="00E22C00" w:rsidRDefault="00E22C00" w:rsidP="00290CCC">
      <w:pPr>
        <w:rPr>
          <w:lang w:val="en-GB"/>
        </w:rPr>
      </w:pPr>
    </w:p>
    <w:p w14:paraId="1273684D" w14:textId="77777777" w:rsidR="00CF2354" w:rsidRDefault="00E22C00" w:rsidP="000444B1">
      <w:pPr>
        <w:keepNext/>
        <w:jc w:val="center"/>
      </w:pPr>
      <w:r>
        <w:rPr>
          <w:noProof/>
          <w:lang w:val="en-GB"/>
        </w:rPr>
        <w:drawing>
          <wp:inline distT="0" distB="0" distL="0" distR="0" wp14:anchorId="140312F3" wp14:editId="0287F773">
            <wp:extent cx="6329200" cy="3167700"/>
            <wp:effectExtent l="0" t="0" r="0" b="0"/>
            <wp:docPr id="682560266" name="Grafik 6" descr="Ein Bild, das Text, Zahl, parallel, Hand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60266" name="Grafik 6" descr="Ein Bild, das Text, Zahl, parallel, Handschrift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51708" cy="3178965"/>
                    </a:xfrm>
                    <a:prstGeom prst="rect">
                      <a:avLst/>
                    </a:prstGeom>
                  </pic:spPr>
                </pic:pic>
              </a:graphicData>
            </a:graphic>
          </wp:inline>
        </w:drawing>
      </w:r>
    </w:p>
    <w:p w14:paraId="0500EE91" w14:textId="18046B9E" w:rsidR="00E22C00" w:rsidRPr="00CF2354" w:rsidRDefault="00CF2354" w:rsidP="00CF2354">
      <w:pPr>
        <w:pStyle w:val="Beschriftung"/>
        <w:jc w:val="center"/>
        <w:rPr>
          <w:lang w:val="en-US"/>
        </w:rPr>
      </w:pPr>
      <w:r w:rsidRPr="00CF2354">
        <w:rPr>
          <w:lang w:val="en-US"/>
        </w:rPr>
        <w:t xml:space="preserve">Figure </w:t>
      </w:r>
      <w:r>
        <w:fldChar w:fldCharType="begin"/>
      </w:r>
      <w:r w:rsidRPr="00CF2354">
        <w:rPr>
          <w:lang w:val="en-US"/>
        </w:rPr>
        <w:instrText xml:space="preserve"> SEQ Figure \* ARABIC </w:instrText>
      </w:r>
      <w:r>
        <w:fldChar w:fldCharType="separate"/>
      </w:r>
      <w:r w:rsidRPr="00CF2354">
        <w:rPr>
          <w:noProof/>
          <w:lang w:val="en-US"/>
        </w:rPr>
        <w:t>2</w:t>
      </w:r>
      <w:r>
        <w:fldChar w:fldCharType="end"/>
      </w:r>
      <w:r w:rsidRPr="00CF2354">
        <w:rPr>
          <w:lang w:val="en-US"/>
        </w:rPr>
        <w:t xml:space="preserve"> PDCCH Performance </w:t>
      </w:r>
      <w:r>
        <w:rPr>
          <w:lang w:val="en-US"/>
        </w:rPr>
        <w:t>(</w:t>
      </w:r>
      <w:r w:rsidRPr="00CF2354">
        <w:rPr>
          <w:lang w:val="en-US"/>
        </w:rPr>
        <w:t>BW 48RB)</w:t>
      </w:r>
    </w:p>
    <w:p w14:paraId="02FC77AD" w14:textId="77777777" w:rsidR="00CF2354" w:rsidRDefault="00CF2354" w:rsidP="00CF2354">
      <w:pPr>
        <w:rPr>
          <w:lang w:val="en-US"/>
        </w:rPr>
      </w:pPr>
    </w:p>
    <w:p w14:paraId="6EDF3054" w14:textId="77777777" w:rsidR="00B13A58" w:rsidRDefault="00B13A58" w:rsidP="00CF2354">
      <w:pPr>
        <w:rPr>
          <w:lang w:val="en-US"/>
        </w:rPr>
      </w:pPr>
    </w:p>
    <w:p w14:paraId="60F7AE86" w14:textId="77777777" w:rsidR="00B13A58" w:rsidRPr="00CF2354" w:rsidRDefault="00B13A58" w:rsidP="00CF2354">
      <w:pPr>
        <w:rPr>
          <w:lang w:val="en-US"/>
        </w:rPr>
      </w:pPr>
    </w:p>
    <w:p w14:paraId="284F6DFF" w14:textId="619B50C4" w:rsidR="00CF2354" w:rsidRPr="000444B1" w:rsidRDefault="00CF2354" w:rsidP="00CF2354">
      <w:pPr>
        <w:pStyle w:val="Beschriftung"/>
        <w:keepNext/>
        <w:jc w:val="center"/>
        <w:rPr>
          <w:lang w:val="en-US"/>
        </w:rPr>
      </w:pPr>
      <w:r w:rsidRPr="000444B1">
        <w:rPr>
          <w:lang w:val="en-US"/>
        </w:rPr>
        <w:lastRenderedPageBreak/>
        <w:t xml:space="preserve">Table </w:t>
      </w:r>
      <w:r>
        <w:fldChar w:fldCharType="begin"/>
      </w:r>
      <w:r w:rsidRPr="000444B1">
        <w:rPr>
          <w:lang w:val="en-US"/>
        </w:rPr>
        <w:instrText xml:space="preserve"> SEQ Table \* ARABIC </w:instrText>
      </w:r>
      <w:r>
        <w:fldChar w:fldCharType="separate"/>
      </w:r>
      <w:r w:rsidRPr="000444B1">
        <w:rPr>
          <w:noProof/>
          <w:lang w:val="en-US"/>
        </w:rPr>
        <w:t>14</w:t>
      </w:r>
      <w:r>
        <w:fldChar w:fldCharType="end"/>
      </w:r>
      <w:r w:rsidRPr="000444B1">
        <w:rPr>
          <w:lang w:val="en-US"/>
        </w:rPr>
        <w:t xml:space="preserve"> PDCCH Performance Gap </w:t>
      </w:r>
      <w:r w:rsidR="000444B1" w:rsidRPr="000444B1">
        <w:rPr>
          <w:lang w:val="en-US"/>
        </w:rPr>
        <w:t>(B</w:t>
      </w:r>
      <w:r w:rsidR="000444B1">
        <w:rPr>
          <w:lang w:val="en-US"/>
        </w:rPr>
        <w:t>W 48RB)</w:t>
      </w:r>
    </w:p>
    <w:tbl>
      <w:tblPr>
        <w:tblW w:w="5000" w:type="pct"/>
        <w:tblCellMar>
          <w:left w:w="70" w:type="dxa"/>
          <w:right w:w="70" w:type="dxa"/>
        </w:tblCellMar>
        <w:tblLook w:val="04A0" w:firstRow="1" w:lastRow="0" w:firstColumn="1" w:lastColumn="0" w:noHBand="0" w:noVBand="1"/>
      </w:tblPr>
      <w:tblGrid>
        <w:gridCol w:w="1503"/>
        <w:gridCol w:w="2369"/>
        <w:gridCol w:w="939"/>
        <w:gridCol w:w="3322"/>
        <w:gridCol w:w="1496"/>
      </w:tblGrid>
      <w:tr w:rsidR="00E22C00" w14:paraId="50423BC4" w14:textId="77777777" w:rsidTr="006A333D">
        <w:trPr>
          <w:trHeight w:val="290"/>
        </w:trPr>
        <w:tc>
          <w:tcPr>
            <w:tcW w:w="9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CAA279"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Elevation angle</w:t>
            </w:r>
          </w:p>
        </w:tc>
        <w:tc>
          <w:tcPr>
            <w:tcW w:w="866" w:type="pct"/>
            <w:tcBorders>
              <w:top w:val="single" w:sz="4" w:space="0" w:color="auto"/>
              <w:left w:val="nil"/>
              <w:bottom w:val="single" w:sz="4" w:space="0" w:color="auto"/>
              <w:right w:val="single" w:sz="4" w:space="0" w:color="auto"/>
            </w:tcBorders>
            <w:shd w:val="clear" w:color="auto" w:fill="auto"/>
            <w:noWrap/>
            <w:vAlign w:val="bottom"/>
            <w:hideMark/>
          </w:tcPr>
          <w:p w14:paraId="14C7DBCB"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EIRP Density [dBW/MHz]</w:t>
            </w:r>
          </w:p>
        </w:tc>
        <w:tc>
          <w:tcPr>
            <w:tcW w:w="779" w:type="pct"/>
            <w:tcBorders>
              <w:top w:val="single" w:sz="4" w:space="0" w:color="auto"/>
              <w:left w:val="nil"/>
              <w:bottom w:val="single" w:sz="4" w:space="0" w:color="auto"/>
              <w:right w:val="single" w:sz="4" w:space="0" w:color="auto"/>
            </w:tcBorders>
            <w:shd w:val="clear" w:color="auto" w:fill="auto"/>
            <w:noWrap/>
            <w:vAlign w:val="bottom"/>
            <w:hideMark/>
          </w:tcPr>
          <w:p w14:paraId="5247BA6F"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CNR [dB]</w:t>
            </w:r>
          </w:p>
        </w:tc>
        <w:tc>
          <w:tcPr>
            <w:tcW w:w="1223" w:type="pct"/>
            <w:tcBorders>
              <w:top w:val="single" w:sz="4" w:space="0" w:color="auto"/>
              <w:left w:val="nil"/>
              <w:bottom w:val="single" w:sz="4" w:space="0" w:color="auto"/>
              <w:right w:val="single" w:sz="4" w:space="0" w:color="auto"/>
            </w:tcBorders>
            <w:shd w:val="clear" w:color="auto" w:fill="auto"/>
            <w:noWrap/>
            <w:vAlign w:val="bottom"/>
            <w:hideMark/>
          </w:tcPr>
          <w:p w14:paraId="24C81D4D" w14:textId="77777777" w:rsidR="00E22C00" w:rsidRPr="00B31902" w:rsidRDefault="00E22C00" w:rsidP="00AD4088">
            <w:pPr>
              <w:jc w:val="center"/>
              <w:rPr>
                <w:rFonts w:ascii="Calibri" w:hAnsi="Calibri" w:cs="Calibri"/>
                <w:color w:val="000000"/>
                <w:sz w:val="22"/>
                <w:szCs w:val="22"/>
                <w:lang w:val="en-US"/>
              </w:rPr>
            </w:pPr>
            <w:r w:rsidRPr="00B31902">
              <w:rPr>
                <w:rFonts w:ascii="Calibri" w:hAnsi="Calibri" w:cs="Calibri"/>
                <w:color w:val="000000"/>
                <w:sz w:val="22"/>
                <w:szCs w:val="22"/>
                <w:lang w:val="en-US"/>
              </w:rPr>
              <w:t xml:space="preserve">Required SNR [dB] (DCI Size </w:t>
            </w:r>
            <w:r>
              <w:rPr>
                <w:rFonts w:ascii="Calibri" w:hAnsi="Calibri" w:cs="Calibri"/>
                <w:color w:val="000000"/>
                <w:sz w:val="22"/>
                <w:szCs w:val="22"/>
                <w:lang w:val="en-US"/>
              </w:rPr>
              <w:t>2</w:t>
            </w:r>
            <w:r w:rsidRPr="00B31902">
              <w:rPr>
                <w:rFonts w:ascii="Calibri" w:hAnsi="Calibri" w:cs="Calibri"/>
                <w:color w:val="000000"/>
                <w:sz w:val="22"/>
                <w:szCs w:val="22"/>
                <w:lang w:val="en-US"/>
              </w:rPr>
              <w:t>0 bits)</w:t>
            </w:r>
          </w:p>
        </w:tc>
        <w:tc>
          <w:tcPr>
            <w:tcW w:w="1223" w:type="pct"/>
            <w:tcBorders>
              <w:top w:val="single" w:sz="4" w:space="0" w:color="auto"/>
              <w:left w:val="nil"/>
              <w:bottom w:val="single" w:sz="4" w:space="0" w:color="auto"/>
              <w:right w:val="single" w:sz="4" w:space="0" w:color="auto"/>
            </w:tcBorders>
            <w:shd w:val="clear" w:color="auto" w:fill="auto"/>
            <w:noWrap/>
            <w:vAlign w:val="bottom"/>
            <w:hideMark/>
          </w:tcPr>
          <w:p w14:paraId="2C18D8CF"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Gap [dB]</w:t>
            </w:r>
          </w:p>
        </w:tc>
      </w:tr>
      <w:tr w:rsidR="00E22C00" w14:paraId="17B67001"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17FB9B62"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w:t>
            </w:r>
          </w:p>
        </w:tc>
        <w:tc>
          <w:tcPr>
            <w:tcW w:w="866" w:type="pct"/>
            <w:tcBorders>
              <w:top w:val="nil"/>
              <w:left w:val="nil"/>
              <w:bottom w:val="single" w:sz="4" w:space="0" w:color="auto"/>
              <w:right w:val="single" w:sz="4" w:space="0" w:color="auto"/>
            </w:tcBorders>
            <w:shd w:val="clear" w:color="auto" w:fill="auto"/>
            <w:noWrap/>
            <w:vAlign w:val="bottom"/>
            <w:hideMark/>
          </w:tcPr>
          <w:p w14:paraId="2A84B587"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15.3318</w:t>
            </w:r>
          </w:p>
        </w:tc>
        <w:tc>
          <w:tcPr>
            <w:tcW w:w="779" w:type="pct"/>
            <w:tcBorders>
              <w:top w:val="nil"/>
              <w:left w:val="nil"/>
              <w:bottom w:val="single" w:sz="4" w:space="0" w:color="auto"/>
              <w:right w:val="single" w:sz="4" w:space="0" w:color="auto"/>
            </w:tcBorders>
            <w:shd w:val="clear" w:color="auto" w:fill="auto"/>
            <w:noWrap/>
            <w:vAlign w:val="bottom"/>
            <w:hideMark/>
          </w:tcPr>
          <w:p w14:paraId="4034B4FD"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-22.6782</w:t>
            </w:r>
          </w:p>
        </w:tc>
        <w:tc>
          <w:tcPr>
            <w:tcW w:w="1223" w:type="pct"/>
            <w:tcBorders>
              <w:top w:val="nil"/>
              <w:left w:val="nil"/>
              <w:bottom w:val="single" w:sz="4" w:space="0" w:color="auto"/>
              <w:right w:val="single" w:sz="4" w:space="0" w:color="auto"/>
            </w:tcBorders>
            <w:shd w:val="clear" w:color="auto" w:fill="auto"/>
            <w:noWrap/>
            <w:vAlign w:val="bottom"/>
            <w:hideMark/>
          </w:tcPr>
          <w:p w14:paraId="4110298C" w14:textId="2555E83E"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2416BF52" w14:textId="2AD97525"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17.5</w:t>
            </w:r>
          </w:p>
        </w:tc>
      </w:tr>
      <w:tr w:rsidR="00E22C00" w14:paraId="55334F52"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4CF38737"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10°</w:t>
            </w:r>
          </w:p>
        </w:tc>
        <w:tc>
          <w:tcPr>
            <w:tcW w:w="866" w:type="pct"/>
            <w:tcBorders>
              <w:top w:val="nil"/>
              <w:left w:val="nil"/>
              <w:bottom w:val="single" w:sz="4" w:space="0" w:color="auto"/>
              <w:right w:val="single" w:sz="4" w:space="0" w:color="auto"/>
            </w:tcBorders>
            <w:shd w:val="clear" w:color="auto" w:fill="auto"/>
            <w:noWrap/>
            <w:vAlign w:val="bottom"/>
            <w:hideMark/>
          </w:tcPr>
          <w:p w14:paraId="3597334E"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16.2122</w:t>
            </w:r>
          </w:p>
        </w:tc>
        <w:tc>
          <w:tcPr>
            <w:tcW w:w="779" w:type="pct"/>
            <w:tcBorders>
              <w:top w:val="nil"/>
              <w:left w:val="nil"/>
              <w:bottom w:val="single" w:sz="4" w:space="0" w:color="auto"/>
              <w:right w:val="single" w:sz="4" w:space="0" w:color="auto"/>
            </w:tcBorders>
            <w:shd w:val="clear" w:color="auto" w:fill="auto"/>
            <w:noWrap/>
            <w:vAlign w:val="bottom"/>
            <w:hideMark/>
          </w:tcPr>
          <w:p w14:paraId="04980783"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-21.6778</w:t>
            </w:r>
          </w:p>
        </w:tc>
        <w:tc>
          <w:tcPr>
            <w:tcW w:w="1223" w:type="pct"/>
            <w:tcBorders>
              <w:top w:val="nil"/>
              <w:left w:val="nil"/>
              <w:bottom w:val="single" w:sz="4" w:space="0" w:color="auto"/>
              <w:right w:val="single" w:sz="4" w:space="0" w:color="auto"/>
            </w:tcBorders>
            <w:shd w:val="clear" w:color="auto" w:fill="auto"/>
            <w:noWrap/>
            <w:vAlign w:val="bottom"/>
            <w:hideMark/>
          </w:tcPr>
          <w:p w14:paraId="5764EDB4" w14:textId="0AF1FA3E"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55FFE64F" w14:textId="26A8AC6B"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16.5</w:t>
            </w:r>
          </w:p>
        </w:tc>
      </w:tr>
      <w:tr w:rsidR="00E22C00" w14:paraId="48814631"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2C76E8D6"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25°</w:t>
            </w:r>
          </w:p>
        </w:tc>
        <w:tc>
          <w:tcPr>
            <w:tcW w:w="866" w:type="pct"/>
            <w:tcBorders>
              <w:top w:val="nil"/>
              <w:left w:val="nil"/>
              <w:bottom w:val="single" w:sz="4" w:space="0" w:color="auto"/>
              <w:right w:val="single" w:sz="4" w:space="0" w:color="auto"/>
            </w:tcBorders>
            <w:shd w:val="clear" w:color="auto" w:fill="auto"/>
            <w:noWrap/>
            <w:vAlign w:val="bottom"/>
            <w:hideMark/>
          </w:tcPr>
          <w:p w14:paraId="68CF30BB"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19.6693</w:t>
            </w:r>
          </w:p>
        </w:tc>
        <w:tc>
          <w:tcPr>
            <w:tcW w:w="779" w:type="pct"/>
            <w:tcBorders>
              <w:top w:val="nil"/>
              <w:left w:val="nil"/>
              <w:bottom w:val="single" w:sz="4" w:space="0" w:color="auto"/>
              <w:right w:val="single" w:sz="4" w:space="0" w:color="auto"/>
            </w:tcBorders>
            <w:shd w:val="clear" w:color="auto" w:fill="auto"/>
            <w:noWrap/>
            <w:vAlign w:val="bottom"/>
            <w:hideMark/>
          </w:tcPr>
          <w:p w14:paraId="6F8D71B6"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-13.8807</w:t>
            </w:r>
          </w:p>
        </w:tc>
        <w:tc>
          <w:tcPr>
            <w:tcW w:w="1223" w:type="pct"/>
            <w:tcBorders>
              <w:top w:val="nil"/>
              <w:left w:val="nil"/>
              <w:bottom w:val="single" w:sz="4" w:space="0" w:color="auto"/>
              <w:right w:val="single" w:sz="4" w:space="0" w:color="auto"/>
            </w:tcBorders>
            <w:shd w:val="clear" w:color="auto" w:fill="auto"/>
            <w:noWrap/>
            <w:vAlign w:val="bottom"/>
            <w:hideMark/>
          </w:tcPr>
          <w:p w14:paraId="20505605" w14:textId="7C0AC21D"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4500BDE1" w14:textId="6EAC76B1"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8.7</w:t>
            </w:r>
          </w:p>
        </w:tc>
      </w:tr>
      <w:tr w:rsidR="00E22C00" w14:paraId="24841862"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226E9D65"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30°</w:t>
            </w:r>
          </w:p>
        </w:tc>
        <w:tc>
          <w:tcPr>
            <w:tcW w:w="866" w:type="pct"/>
            <w:tcBorders>
              <w:top w:val="nil"/>
              <w:left w:val="nil"/>
              <w:bottom w:val="single" w:sz="4" w:space="0" w:color="auto"/>
              <w:right w:val="single" w:sz="4" w:space="0" w:color="auto"/>
            </w:tcBorders>
            <w:shd w:val="clear" w:color="auto" w:fill="auto"/>
            <w:noWrap/>
            <w:vAlign w:val="bottom"/>
            <w:hideMark/>
          </w:tcPr>
          <w:p w14:paraId="0898EC22"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18.6203</w:t>
            </w:r>
          </w:p>
        </w:tc>
        <w:tc>
          <w:tcPr>
            <w:tcW w:w="779" w:type="pct"/>
            <w:tcBorders>
              <w:top w:val="nil"/>
              <w:left w:val="nil"/>
              <w:bottom w:val="single" w:sz="4" w:space="0" w:color="auto"/>
              <w:right w:val="single" w:sz="4" w:space="0" w:color="auto"/>
            </w:tcBorders>
            <w:shd w:val="clear" w:color="auto" w:fill="auto"/>
            <w:noWrap/>
            <w:vAlign w:val="bottom"/>
            <w:hideMark/>
          </w:tcPr>
          <w:p w14:paraId="6DA78FEB"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-13.7797</w:t>
            </w:r>
          </w:p>
        </w:tc>
        <w:tc>
          <w:tcPr>
            <w:tcW w:w="1223" w:type="pct"/>
            <w:tcBorders>
              <w:top w:val="nil"/>
              <w:left w:val="nil"/>
              <w:bottom w:val="single" w:sz="4" w:space="0" w:color="auto"/>
              <w:right w:val="single" w:sz="4" w:space="0" w:color="auto"/>
            </w:tcBorders>
            <w:shd w:val="clear" w:color="auto" w:fill="auto"/>
            <w:noWrap/>
            <w:vAlign w:val="bottom"/>
            <w:hideMark/>
          </w:tcPr>
          <w:p w14:paraId="504913B8" w14:textId="15EACACA"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1E8662AC" w14:textId="149C6C04"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8.5</w:t>
            </w:r>
          </w:p>
        </w:tc>
      </w:tr>
      <w:tr w:rsidR="00E22C00" w14:paraId="518CE41F"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7AA82E68"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60°</w:t>
            </w:r>
          </w:p>
        </w:tc>
        <w:tc>
          <w:tcPr>
            <w:tcW w:w="866" w:type="pct"/>
            <w:tcBorders>
              <w:top w:val="nil"/>
              <w:left w:val="nil"/>
              <w:bottom w:val="single" w:sz="4" w:space="0" w:color="auto"/>
              <w:right w:val="single" w:sz="4" w:space="0" w:color="auto"/>
            </w:tcBorders>
            <w:shd w:val="clear" w:color="auto" w:fill="auto"/>
            <w:noWrap/>
            <w:vAlign w:val="bottom"/>
            <w:hideMark/>
          </w:tcPr>
          <w:p w14:paraId="21093E93"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14.6805</w:t>
            </w:r>
          </w:p>
        </w:tc>
        <w:tc>
          <w:tcPr>
            <w:tcW w:w="779" w:type="pct"/>
            <w:tcBorders>
              <w:top w:val="nil"/>
              <w:left w:val="nil"/>
              <w:bottom w:val="single" w:sz="4" w:space="0" w:color="auto"/>
              <w:right w:val="single" w:sz="4" w:space="0" w:color="auto"/>
            </w:tcBorders>
            <w:shd w:val="clear" w:color="auto" w:fill="auto"/>
            <w:noWrap/>
            <w:vAlign w:val="bottom"/>
            <w:hideMark/>
          </w:tcPr>
          <w:p w14:paraId="7AB24B5D"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-13.6195</w:t>
            </w:r>
          </w:p>
        </w:tc>
        <w:tc>
          <w:tcPr>
            <w:tcW w:w="1223" w:type="pct"/>
            <w:tcBorders>
              <w:top w:val="nil"/>
              <w:left w:val="nil"/>
              <w:bottom w:val="single" w:sz="4" w:space="0" w:color="auto"/>
              <w:right w:val="single" w:sz="4" w:space="0" w:color="auto"/>
            </w:tcBorders>
            <w:shd w:val="clear" w:color="auto" w:fill="auto"/>
            <w:noWrap/>
            <w:vAlign w:val="bottom"/>
            <w:hideMark/>
          </w:tcPr>
          <w:p w14:paraId="2502374E" w14:textId="1B2BE30B"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61108360" w14:textId="2807B68E"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8.4</w:t>
            </w:r>
          </w:p>
        </w:tc>
      </w:tr>
      <w:tr w:rsidR="00E22C00" w14:paraId="2B6BC6F2" w14:textId="77777777" w:rsidTr="006A333D">
        <w:trPr>
          <w:trHeight w:val="290"/>
        </w:trPr>
        <w:tc>
          <w:tcPr>
            <w:tcW w:w="909" w:type="pct"/>
            <w:tcBorders>
              <w:top w:val="nil"/>
              <w:left w:val="single" w:sz="4" w:space="0" w:color="auto"/>
              <w:bottom w:val="single" w:sz="4" w:space="0" w:color="auto"/>
              <w:right w:val="single" w:sz="4" w:space="0" w:color="auto"/>
            </w:tcBorders>
            <w:shd w:val="clear" w:color="auto" w:fill="auto"/>
            <w:noWrap/>
            <w:vAlign w:val="bottom"/>
            <w:hideMark/>
          </w:tcPr>
          <w:p w14:paraId="251868D5"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90°</w:t>
            </w:r>
          </w:p>
        </w:tc>
        <w:tc>
          <w:tcPr>
            <w:tcW w:w="866" w:type="pct"/>
            <w:tcBorders>
              <w:top w:val="nil"/>
              <w:left w:val="nil"/>
              <w:bottom w:val="single" w:sz="4" w:space="0" w:color="auto"/>
              <w:right w:val="single" w:sz="4" w:space="0" w:color="auto"/>
            </w:tcBorders>
            <w:shd w:val="clear" w:color="auto" w:fill="auto"/>
            <w:noWrap/>
            <w:vAlign w:val="bottom"/>
            <w:hideMark/>
          </w:tcPr>
          <w:p w14:paraId="347A789D"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13.5551</w:t>
            </w:r>
          </w:p>
        </w:tc>
        <w:tc>
          <w:tcPr>
            <w:tcW w:w="779" w:type="pct"/>
            <w:tcBorders>
              <w:top w:val="nil"/>
              <w:left w:val="nil"/>
              <w:bottom w:val="single" w:sz="4" w:space="0" w:color="auto"/>
              <w:right w:val="single" w:sz="4" w:space="0" w:color="auto"/>
            </w:tcBorders>
            <w:shd w:val="clear" w:color="auto" w:fill="auto"/>
            <w:noWrap/>
            <w:vAlign w:val="bottom"/>
            <w:hideMark/>
          </w:tcPr>
          <w:p w14:paraId="5971F294" w14:textId="77777777"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-13.7449</w:t>
            </w:r>
          </w:p>
        </w:tc>
        <w:tc>
          <w:tcPr>
            <w:tcW w:w="1223" w:type="pct"/>
            <w:tcBorders>
              <w:top w:val="nil"/>
              <w:left w:val="nil"/>
              <w:bottom w:val="single" w:sz="4" w:space="0" w:color="auto"/>
              <w:right w:val="single" w:sz="4" w:space="0" w:color="auto"/>
            </w:tcBorders>
            <w:shd w:val="clear" w:color="auto" w:fill="auto"/>
            <w:noWrap/>
            <w:vAlign w:val="bottom"/>
            <w:hideMark/>
          </w:tcPr>
          <w:p w14:paraId="037405EA" w14:textId="1FCEFC2B"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-5.2</w:t>
            </w:r>
          </w:p>
        </w:tc>
        <w:tc>
          <w:tcPr>
            <w:tcW w:w="1223" w:type="pct"/>
            <w:tcBorders>
              <w:top w:val="nil"/>
              <w:left w:val="nil"/>
              <w:bottom w:val="single" w:sz="4" w:space="0" w:color="auto"/>
              <w:right w:val="single" w:sz="4" w:space="0" w:color="auto"/>
            </w:tcBorders>
            <w:shd w:val="clear" w:color="auto" w:fill="auto"/>
            <w:noWrap/>
            <w:vAlign w:val="bottom"/>
            <w:hideMark/>
          </w:tcPr>
          <w:p w14:paraId="151395F0" w14:textId="6F28BD89" w:rsidR="00E22C00" w:rsidRDefault="00E22C00" w:rsidP="00AD4088">
            <w:pPr>
              <w:jc w:val="center"/>
              <w:rPr>
                <w:rFonts w:ascii="Calibri" w:hAnsi="Calibri" w:cs="Calibri"/>
                <w:color w:val="000000"/>
                <w:sz w:val="22"/>
                <w:szCs w:val="22"/>
              </w:rPr>
            </w:pPr>
            <w:r>
              <w:rPr>
                <w:rFonts w:ascii="Calibri" w:hAnsi="Calibri" w:cs="Calibri"/>
                <w:color w:val="000000"/>
                <w:sz w:val="22"/>
                <w:szCs w:val="22"/>
              </w:rPr>
              <w:t>8.5</w:t>
            </w:r>
          </w:p>
        </w:tc>
      </w:tr>
    </w:tbl>
    <w:p w14:paraId="00D28584" w14:textId="77777777" w:rsidR="00DA1B51" w:rsidRDefault="00DA1B51" w:rsidP="00290CCC">
      <w:pPr>
        <w:rPr>
          <w:lang w:val="en-GB"/>
        </w:rPr>
      </w:pPr>
    </w:p>
    <w:p w14:paraId="68E3553A" w14:textId="700DB14C" w:rsidR="00C25875" w:rsidRPr="008D66A0" w:rsidRDefault="00C25875" w:rsidP="00C2587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sidR="00B26724">
        <w:rPr>
          <w:rFonts w:eastAsia="SimSun"/>
          <w:b/>
          <w:lang w:val="en-US"/>
        </w:rPr>
        <w:t>2</w:t>
      </w:r>
      <w:r w:rsidRPr="008D66A0">
        <w:rPr>
          <w:rFonts w:eastAsia="SimSun"/>
          <w:b/>
          <w:lang w:val="en-US"/>
        </w:rPr>
        <w:t xml:space="preserve">: The </w:t>
      </w:r>
      <w:r w:rsidR="00CA2754">
        <w:rPr>
          <w:rFonts w:eastAsia="SimSun"/>
          <w:b/>
          <w:lang w:val="en-US"/>
        </w:rPr>
        <w:t xml:space="preserve">current </w:t>
      </w:r>
      <w:r w:rsidRPr="008D66A0">
        <w:rPr>
          <w:rFonts w:eastAsia="SimSun"/>
          <w:b/>
          <w:lang w:val="en-US"/>
        </w:rPr>
        <w:t>regulation of limiting power flux density in S</w:t>
      </w:r>
      <w:r w:rsidR="00B96392">
        <w:rPr>
          <w:rFonts w:eastAsia="SimSun"/>
          <w:b/>
          <w:lang w:val="en-US"/>
        </w:rPr>
        <w:t>-</w:t>
      </w:r>
      <w:r w:rsidRPr="008D66A0">
        <w:rPr>
          <w:rFonts w:eastAsia="SimSun"/>
          <w:b/>
          <w:lang w:val="en-US"/>
        </w:rPr>
        <w:t>band leads to low CNR, which doesn’t meet PDCCH SNR requirements for LEO</w:t>
      </w:r>
      <w:r w:rsidR="00CA2754">
        <w:rPr>
          <w:rFonts w:eastAsia="SimSun"/>
          <w:b/>
          <w:lang w:val="en-US"/>
        </w:rPr>
        <w:t>-</w:t>
      </w:r>
      <w:r w:rsidRPr="008D66A0">
        <w:rPr>
          <w:rFonts w:eastAsia="SimSun"/>
          <w:b/>
          <w:lang w:val="en-US"/>
        </w:rPr>
        <w:t>600</w:t>
      </w:r>
      <w:r w:rsidR="00B31902">
        <w:rPr>
          <w:rFonts w:eastAsia="SimSun"/>
          <w:b/>
          <w:lang w:val="en-US"/>
        </w:rPr>
        <w:t>.</w:t>
      </w:r>
    </w:p>
    <w:p w14:paraId="3EBC221E" w14:textId="77777777" w:rsidR="00B31902" w:rsidRPr="00C25875" w:rsidRDefault="00B31902" w:rsidP="00290CCC">
      <w:pPr>
        <w:rPr>
          <w:lang w:val="en-US"/>
        </w:rPr>
      </w:pPr>
    </w:p>
    <w:p w14:paraId="08395041" w14:textId="7EC43233" w:rsidR="00B31902" w:rsidRDefault="00B31902" w:rsidP="00B319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1: PDCCH coverage enhancement is needed for LEO-</w:t>
      </w:r>
      <w:r w:rsidR="00F0101C">
        <w:rPr>
          <w:rFonts w:eastAsia="SimSun"/>
          <w:b/>
          <w:lang w:val="en-US"/>
        </w:rPr>
        <w:t>600 if</w:t>
      </w:r>
      <w:r>
        <w:rPr>
          <w:rFonts w:eastAsia="SimSun"/>
          <w:b/>
          <w:lang w:val="en-US"/>
        </w:rPr>
        <w:t xml:space="preserve"> PFD regulation is to be considered.</w:t>
      </w:r>
    </w:p>
    <w:p w14:paraId="3D71EDB2" w14:textId="77777777" w:rsidR="00646979" w:rsidRDefault="00646979" w:rsidP="00290CCC">
      <w:pPr>
        <w:rPr>
          <w:lang w:val="en-US"/>
        </w:rPr>
      </w:pPr>
    </w:p>
    <w:p w14:paraId="0E99DC68" w14:textId="77777777" w:rsidR="00E7492F" w:rsidRDefault="00E7492F" w:rsidP="00290CCC">
      <w:pPr>
        <w:rPr>
          <w:lang w:val="en-US"/>
        </w:rPr>
      </w:pPr>
    </w:p>
    <w:p w14:paraId="5B94DDD1" w14:textId="58995D8A" w:rsidR="00E7492F" w:rsidRPr="00E7492F" w:rsidRDefault="005763D4" w:rsidP="00E7492F">
      <w:pPr>
        <w:pStyle w:val="berschrift5"/>
        <w:numPr>
          <w:ilvl w:val="3"/>
          <w:numId w:val="35"/>
        </w:numPr>
        <w:rPr>
          <w:lang w:val="en-GB"/>
        </w:rPr>
      </w:pPr>
      <w:r>
        <w:rPr>
          <w:lang w:val="en-GB"/>
        </w:rPr>
        <w:t>Power</w:t>
      </w:r>
      <w:r w:rsidR="00E7492F" w:rsidRPr="00E7492F">
        <w:rPr>
          <w:lang w:val="en-GB"/>
        </w:rPr>
        <w:t xml:space="preserve"> sharing between satellite beams</w:t>
      </w:r>
    </w:p>
    <w:p w14:paraId="1246985E" w14:textId="77777777" w:rsidR="00E7492F" w:rsidRDefault="00E7492F" w:rsidP="00290CCC">
      <w:pPr>
        <w:rPr>
          <w:lang w:val="en-US"/>
        </w:rPr>
      </w:pPr>
    </w:p>
    <w:p w14:paraId="03A276D1" w14:textId="584E6E80" w:rsidR="00F22B1C" w:rsidRDefault="00F2384C" w:rsidP="00E7492F">
      <w:pPr>
        <w:rPr>
          <w:lang w:val="en-GB"/>
        </w:rPr>
      </w:pPr>
      <w:r>
        <w:rPr>
          <w:lang w:val="en-US"/>
        </w:rPr>
        <w:t>As</w:t>
      </w:r>
      <w:r w:rsidR="00F22B1C">
        <w:rPr>
          <w:lang w:val="en-GB"/>
        </w:rPr>
        <w:t xml:space="preserve"> stated in the WI objectives, the power of the satellite should be shared between the satellite beams, which leads to the fact that the PDCCH might be transmitted with reduced power</w:t>
      </w:r>
      <w:r w:rsidR="00D412CB">
        <w:rPr>
          <w:lang w:val="en-GB"/>
        </w:rPr>
        <w:t xml:space="preserve"> (</w:t>
      </w:r>
      <w:r w:rsidR="00366F81">
        <w:rPr>
          <w:lang w:val="en-GB"/>
        </w:rPr>
        <w:t>reduced</w:t>
      </w:r>
      <w:r w:rsidR="00D412CB">
        <w:rPr>
          <w:lang w:val="en-GB"/>
        </w:rPr>
        <w:t xml:space="preserve"> EIRP</w:t>
      </w:r>
      <w:r w:rsidR="00366F81">
        <w:rPr>
          <w:lang w:val="en-GB"/>
        </w:rPr>
        <w:t xml:space="preserve"> per beam</w:t>
      </w:r>
      <w:r w:rsidR="00D412CB">
        <w:rPr>
          <w:lang w:val="en-GB"/>
        </w:rPr>
        <w:t>)</w:t>
      </w:r>
      <w:r w:rsidR="00F22B1C">
        <w:rPr>
          <w:lang w:val="en-GB"/>
        </w:rPr>
        <w:t>. PDCCH coverage enhancement should be considered to compensate the reduced power</w:t>
      </w:r>
      <w:r>
        <w:rPr>
          <w:lang w:val="en-GB"/>
        </w:rPr>
        <w:t xml:space="preserve"> per beam. R</w:t>
      </w:r>
      <w:r w:rsidR="00F22B1C">
        <w:rPr>
          <w:lang w:val="en-GB"/>
        </w:rPr>
        <w:t>educing the DCI payload size</w:t>
      </w:r>
      <w:r w:rsidR="00E7492F">
        <w:rPr>
          <w:lang w:val="en-GB"/>
        </w:rPr>
        <w:t xml:space="preserve">, </w:t>
      </w:r>
      <w:r w:rsidR="00F22B1C">
        <w:rPr>
          <w:lang w:val="en-GB"/>
        </w:rPr>
        <w:t>increasing the number aggregation layers</w:t>
      </w:r>
      <w:r w:rsidR="00E7492F">
        <w:rPr>
          <w:lang w:val="en-GB"/>
        </w:rPr>
        <w:t>, or increasing the number of PDCCH transmissions</w:t>
      </w:r>
      <w:r>
        <w:rPr>
          <w:lang w:val="en-GB"/>
        </w:rPr>
        <w:t xml:space="preserve"> could be considered for enhancing PDCCH coverage in the downlink.</w:t>
      </w:r>
    </w:p>
    <w:p w14:paraId="42189591" w14:textId="77777777" w:rsidR="00E7492F" w:rsidRDefault="00E7492F" w:rsidP="00E7492F">
      <w:pPr>
        <w:rPr>
          <w:lang w:val="en-GB"/>
        </w:rPr>
      </w:pPr>
    </w:p>
    <w:p w14:paraId="6E91374F" w14:textId="3A76C544" w:rsidR="00F22B1C" w:rsidRDefault="00F22B1C" w:rsidP="00F22B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 xml:space="preserve">Proposal 2: PDCCH coverage enhancement is needed if power sharing techniques </w:t>
      </w:r>
      <w:r w:rsidR="00E7492F">
        <w:rPr>
          <w:rFonts w:eastAsia="SimSun"/>
          <w:b/>
          <w:lang w:val="en-US"/>
        </w:rPr>
        <w:t>among</w:t>
      </w:r>
      <w:r>
        <w:rPr>
          <w:rFonts w:eastAsia="SimSun"/>
          <w:b/>
          <w:lang w:val="en-US"/>
        </w:rPr>
        <w:t xml:space="preserve"> satellite beams</w:t>
      </w:r>
      <w:r w:rsidR="00E7492F">
        <w:rPr>
          <w:rFonts w:eastAsia="SimSun"/>
          <w:b/>
          <w:lang w:val="en-US"/>
        </w:rPr>
        <w:t xml:space="preserve"> are considered.</w:t>
      </w:r>
    </w:p>
    <w:p w14:paraId="55A4D932" w14:textId="77777777" w:rsidR="00F22B1C" w:rsidRPr="00F22B1C" w:rsidRDefault="00F22B1C" w:rsidP="00F22B1C">
      <w:pPr>
        <w:rPr>
          <w:lang w:val="en-US"/>
        </w:rPr>
      </w:pPr>
    </w:p>
    <w:p w14:paraId="0C43303D" w14:textId="120AEEE8" w:rsidR="00F22B1C" w:rsidRDefault="00F22B1C" w:rsidP="00F22B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 xml:space="preserve">Proposal </w:t>
      </w:r>
      <w:r w:rsidR="005478BD">
        <w:rPr>
          <w:rFonts w:eastAsia="SimSun"/>
          <w:b/>
          <w:lang w:val="en-US"/>
        </w:rPr>
        <w:t>3</w:t>
      </w:r>
      <w:r>
        <w:rPr>
          <w:rFonts w:eastAsia="SimSun"/>
          <w:b/>
          <w:lang w:val="en-US"/>
        </w:rPr>
        <w:t xml:space="preserve">: PDCCH coverage enhancement techniques </w:t>
      </w:r>
      <w:r w:rsidR="00E7492F">
        <w:rPr>
          <w:rFonts w:eastAsia="SimSun"/>
          <w:b/>
          <w:lang w:val="en-US"/>
        </w:rPr>
        <w:t>might</w:t>
      </w:r>
      <w:r>
        <w:rPr>
          <w:rFonts w:eastAsia="SimSun"/>
          <w:b/>
          <w:lang w:val="en-US"/>
        </w:rPr>
        <w:t xml:space="preserve"> include:</w:t>
      </w:r>
    </w:p>
    <w:p w14:paraId="3B10B6D3" w14:textId="680CA75E" w:rsidR="00F22B1C" w:rsidRDefault="00F22B1C" w:rsidP="00F22B1C">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Reduc</w:t>
      </w:r>
      <w:r w:rsidR="00F2384C">
        <w:rPr>
          <w:b/>
          <w:lang w:val="en-US"/>
        </w:rPr>
        <w:t xml:space="preserve">ing </w:t>
      </w:r>
      <w:r>
        <w:rPr>
          <w:b/>
          <w:lang w:val="en-US"/>
        </w:rPr>
        <w:t>DCI size</w:t>
      </w:r>
    </w:p>
    <w:p w14:paraId="7587002D" w14:textId="7EDE2F4C" w:rsidR="00F22B1C" w:rsidRDefault="00F22B1C" w:rsidP="00F22B1C">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Increas</w:t>
      </w:r>
      <w:r w:rsidR="00F2384C">
        <w:rPr>
          <w:b/>
          <w:lang w:val="en-US"/>
        </w:rPr>
        <w:t xml:space="preserve">ing </w:t>
      </w:r>
      <w:r>
        <w:rPr>
          <w:b/>
          <w:lang w:val="en-US"/>
        </w:rPr>
        <w:t>AL</w:t>
      </w:r>
    </w:p>
    <w:p w14:paraId="0B1B62D2" w14:textId="2A78050E" w:rsidR="00F22B1C" w:rsidRPr="00F22B1C" w:rsidRDefault="00F22B1C" w:rsidP="00F22B1C">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Increas</w:t>
      </w:r>
      <w:r w:rsidR="00F2384C">
        <w:rPr>
          <w:b/>
          <w:lang w:val="en-US"/>
        </w:rPr>
        <w:t>ing</w:t>
      </w:r>
      <w:r>
        <w:rPr>
          <w:b/>
          <w:lang w:val="en-US"/>
        </w:rPr>
        <w:t xml:space="preserve"> number of </w:t>
      </w:r>
      <w:r w:rsidR="00D412CB">
        <w:rPr>
          <w:b/>
          <w:lang w:val="en-US"/>
        </w:rPr>
        <w:t>transmission (PDCCH repetition)</w:t>
      </w:r>
    </w:p>
    <w:p w14:paraId="5EAF5F14" w14:textId="51ED6C19" w:rsidR="00F22B1C" w:rsidRPr="00F22B1C" w:rsidRDefault="00F22B1C" w:rsidP="00290CCC">
      <w:pPr>
        <w:rPr>
          <w:lang w:val="en-US"/>
        </w:rPr>
      </w:pPr>
    </w:p>
    <w:p w14:paraId="4979FE96" w14:textId="77777777" w:rsidR="00192628" w:rsidRDefault="00192628" w:rsidP="00290CCC">
      <w:pPr>
        <w:rPr>
          <w:lang w:val="en-US"/>
        </w:rPr>
      </w:pPr>
    </w:p>
    <w:p w14:paraId="3A60B4AF" w14:textId="7BB3318A" w:rsidR="00436185" w:rsidRDefault="00192628" w:rsidP="00D6424A">
      <w:pPr>
        <w:pStyle w:val="berschrift4"/>
        <w:numPr>
          <w:ilvl w:val="2"/>
          <w:numId w:val="35"/>
        </w:numPr>
        <w:rPr>
          <w:sz w:val="24"/>
          <w:szCs w:val="24"/>
        </w:rPr>
      </w:pPr>
      <w:r w:rsidRPr="00D6424A">
        <w:rPr>
          <w:sz w:val="24"/>
          <w:szCs w:val="24"/>
        </w:rPr>
        <w:t xml:space="preserve">PDSCH </w:t>
      </w:r>
      <w:r w:rsidR="00175AF0">
        <w:rPr>
          <w:sz w:val="24"/>
          <w:szCs w:val="24"/>
        </w:rPr>
        <w:t xml:space="preserve">Enhancement </w:t>
      </w:r>
    </w:p>
    <w:p w14:paraId="3BBBF975" w14:textId="77777777" w:rsidR="00207FB9" w:rsidRDefault="00207FB9" w:rsidP="00207FB9">
      <w:pPr>
        <w:rPr>
          <w:lang w:val="en-GB"/>
        </w:rPr>
      </w:pPr>
    </w:p>
    <w:p w14:paraId="6CF2B2F0" w14:textId="2AB261D4" w:rsidR="00207FB9" w:rsidRPr="00207FB9" w:rsidRDefault="00207FB9" w:rsidP="00207FB9">
      <w:pPr>
        <w:pStyle w:val="berschrift5"/>
        <w:numPr>
          <w:ilvl w:val="3"/>
          <w:numId w:val="35"/>
        </w:numPr>
        <w:rPr>
          <w:lang w:val="en-GB"/>
        </w:rPr>
      </w:pPr>
      <w:r>
        <w:rPr>
          <w:lang w:val="en-GB"/>
        </w:rPr>
        <w:t>PFD limit</w:t>
      </w:r>
      <w:r w:rsidR="005763D4">
        <w:rPr>
          <w:lang w:val="en-GB"/>
        </w:rPr>
        <w:t xml:space="preserve"> and other losses</w:t>
      </w:r>
    </w:p>
    <w:p w14:paraId="55230691" w14:textId="77777777" w:rsidR="00577C61" w:rsidRDefault="00577C61" w:rsidP="00577C61">
      <w:pPr>
        <w:rPr>
          <w:lang w:val="en-GB"/>
        </w:rPr>
      </w:pPr>
    </w:p>
    <w:p w14:paraId="4A05AC0D" w14:textId="37D55E99" w:rsidR="00577C61" w:rsidRPr="00577C61" w:rsidRDefault="00577C61" w:rsidP="00577C61">
      <w:pPr>
        <w:rPr>
          <w:lang w:val="en-GB"/>
        </w:rPr>
      </w:pPr>
      <w:r>
        <w:rPr>
          <w:lang w:val="en-GB"/>
        </w:rPr>
        <w:t>Link-level simulation for PDSCH was performed using the following parameters</w:t>
      </w:r>
      <w:r w:rsidR="008815BE">
        <w:rPr>
          <w:lang w:val="en-GB"/>
        </w:rPr>
        <w:t xml:space="preserve"> for different number of transmissions:</w:t>
      </w:r>
    </w:p>
    <w:p w14:paraId="3B2AC19C" w14:textId="77777777" w:rsidR="00192628" w:rsidRDefault="00192628" w:rsidP="00192628">
      <w:pPr>
        <w:rPr>
          <w:lang w:val="en-GB"/>
        </w:rPr>
      </w:pPr>
    </w:p>
    <w:p w14:paraId="2B7DF24B" w14:textId="77777777" w:rsidR="00B13A58" w:rsidRDefault="00B13A58" w:rsidP="00192628">
      <w:pPr>
        <w:rPr>
          <w:lang w:val="en-GB"/>
        </w:rPr>
      </w:pPr>
    </w:p>
    <w:p w14:paraId="3160AD5C" w14:textId="77777777" w:rsidR="00B13A58" w:rsidRDefault="00B13A58" w:rsidP="00192628">
      <w:pPr>
        <w:rPr>
          <w:lang w:val="en-GB"/>
        </w:rPr>
      </w:pPr>
    </w:p>
    <w:p w14:paraId="5AE8BA4A" w14:textId="77777777" w:rsidR="00192628" w:rsidRDefault="00192628" w:rsidP="00192628">
      <w:pPr>
        <w:rPr>
          <w:lang w:val="en-GB"/>
        </w:rPr>
      </w:pPr>
    </w:p>
    <w:p w14:paraId="6A1709B6" w14:textId="77777777" w:rsidR="00F2384C" w:rsidRDefault="00F2384C" w:rsidP="00192628">
      <w:pPr>
        <w:rPr>
          <w:lang w:val="en-GB"/>
        </w:rPr>
      </w:pPr>
    </w:p>
    <w:p w14:paraId="27C6A271" w14:textId="5B4BC663" w:rsidR="00CF2354" w:rsidRPr="00CF2354" w:rsidRDefault="00CF2354" w:rsidP="00CF2354">
      <w:pPr>
        <w:pStyle w:val="Beschriftung"/>
        <w:keepNext/>
        <w:jc w:val="center"/>
        <w:rPr>
          <w:lang w:val="en-US"/>
        </w:rPr>
      </w:pPr>
      <w:r w:rsidRPr="00CF2354">
        <w:rPr>
          <w:lang w:val="en-US"/>
        </w:rPr>
        <w:t xml:space="preserve">Table </w:t>
      </w:r>
      <w:r>
        <w:fldChar w:fldCharType="begin"/>
      </w:r>
      <w:r w:rsidRPr="00CF2354">
        <w:rPr>
          <w:lang w:val="en-US"/>
        </w:rPr>
        <w:instrText xml:space="preserve"> SEQ Table \* ARABIC </w:instrText>
      </w:r>
      <w:r>
        <w:fldChar w:fldCharType="separate"/>
      </w:r>
      <w:r w:rsidRPr="00CF2354">
        <w:rPr>
          <w:noProof/>
          <w:lang w:val="en-US"/>
        </w:rPr>
        <w:t>15</w:t>
      </w:r>
      <w:r>
        <w:fldChar w:fldCharType="end"/>
      </w:r>
      <w:r w:rsidRPr="00CF2354">
        <w:rPr>
          <w:lang w:val="en-US"/>
        </w:rPr>
        <w:t xml:space="preserve"> PDSCH Link Level Simulation Parameters</w:t>
      </w:r>
    </w:p>
    <w:tbl>
      <w:tblPr>
        <w:tblW w:w="4692" w:type="dxa"/>
        <w:jc w:val="center"/>
        <w:tblCellMar>
          <w:left w:w="70" w:type="dxa"/>
          <w:right w:w="70" w:type="dxa"/>
        </w:tblCellMar>
        <w:tblLook w:val="04A0" w:firstRow="1" w:lastRow="0" w:firstColumn="1" w:lastColumn="0" w:noHBand="0" w:noVBand="1"/>
      </w:tblPr>
      <w:tblGrid>
        <w:gridCol w:w="2547"/>
        <w:gridCol w:w="2145"/>
      </w:tblGrid>
      <w:tr w:rsidR="00F42E95" w14:paraId="321D5BE3" w14:textId="77777777" w:rsidTr="00F42E95">
        <w:trPr>
          <w:trHeight w:val="290"/>
          <w:jc w:val="center"/>
        </w:trPr>
        <w:tc>
          <w:tcPr>
            <w:tcW w:w="2547" w:type="dxa"/>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16E4916E"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Parameter</w:t>
            </w:r>
          </w:p>
        </w:tc>
        <w:tc>
          <w:tcPr>
            <w:tcW w:w="2145" w:type="dxa"/>
            <w:tcBorders>
              <w:top w:val="single" w:sz="4" w:space="0" w:color="auto"/>
              <w:left w:val="nil"/>
              <w:bottom w:val="single" w:sz="4" w:space="0" w:color="auto"/>
              <w:right w:val="single" w:sz="4" w:space="0" w:color="auto"/>
            </w:tcBorders>
            <w:shd w:val="clear" w:color="000000" w:fill="B4C6E7"/>
            <w:noWrap/>
            <w:vAlign w:val="bottom"/>
            <w:hideMark/>
          </w:tcPr>
          <w:p w14:paraId="59ABE281"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Value</w:t>
            </w:r>
          </w:p>
        </w:tc>
      </w:tr>
      <w:tr w:rsidR="00F42E95" w14:paraId="5A387B06"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B5AD1F5"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SCS</w:t>
            </w:r>
          </w:p>
        </w:tc>
        <w:tc>
          <w:tcPr>
            <w:tcW w:w="2145" w:type="dxa"/>
            <w:tcBorders>
              <w:top w:val="nil"/>
              <w:left w:val="nil"/>
              <w:bottom w:val="single" w:sz="4" w:space="0" w:color="auto"/>
              <w:right w:val="single" w:sz="4" w:space="0" w:color="auto"/>
            </w:tcBorders>
            <w:shd w:val="clear" w:color="auto" w:fill="auto"/>
            <w:noWrap/>
            <w:vAlign w:val="bottom"/>
            <w:hideMark/>
          </w:tcPr>
          <w:p w14:paraId="56356A36"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15 KHz</w:t>
            </w:r>
          </w:p>
        </w:tc>
      </w:tr>
      <w:tr w:rsidR="00F42E95" w14:paraId="2605895E"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3D4741D"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lastRenderedPageBreak/>
              <w:t>BW</w:t>
            </w:r>
          </w:p>
        </w:tc>
        <w:tc>
          <w:tcPr>
            <w:tcW w:w="2145" w:type="dxa"/>
            <w:tcBorders>
              <w:top w:val="nil"/>
              <w:left w:val="nil"/>
              <w:bottom w:val="single" w:sz="4" w:space="0" w:color="auto"/>
              <w:right w:val="single" w:sz="4" w:space="0" w:color="auto"/>
            </w:tcBorders>
            <w:shd w:val="clear" w:color="auto" w:fill="auto"/>
            <w:noWrap/>
            <w:vAlign w:val="bottom"/>
            <w:hideMark/>
          </w:tcPr>
          <w:p w14:paraId="48775BB2"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52 RB</w:t>
            </w:r>
          </w:p>
        </w:tc>
      </w:tr>
      <w:tr w:rsidR="00F42E95" w14:paraId="201E2E46"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3D739C7D"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TBS</w:t>
            </w:r>
          </w:p>
        </w:tc>
        <w:tc>
          <w:tcPr>
            <w:tcW w:w="2145" w:type="dxa"/>
            <w:tcBorders>
              <w:top w:val="nil"/>
              <w:left w:val="nil"/>
              <w:bottom w:val="single" w:sz="4" w:space="0" w:color="auto"/>
              <w:right w:val="single" w:sz="4" w:space="0" w:color="auto"/>
            </w:tcBorders>
            <w:shd w:val="clear" w:color="auto" w:fill="auto"/>
            <w:noWrap/>
            <w:vAlign w:val="bottom"/>
            <w:hideMark/>
          </w:tcPr>
          <w:p w14:paraId="174729E0"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1763</w:t>
            </w:r>
          </w:p>
        </w:tc>
      </w:tr>
      <w:tr w:rsidR="00F42E95" w14:paraId="00BAD8D3"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40E1FA3D" w14:textId="77777777" w:rsidR="00F42E95" w:rsidRDefault="00F42E95">
            <w:pPr>
              <w:jc w:val="center"/>
              <w:rPr>
                <w:rFonts w:ascii="Calibri" w:hAnsi="Calibri" w:cs="Calibri"/>
                <w:color w:val="000000"/>
                <w:sz w:val="22"/>
                <w:szCs w:val="22"/>
              </w:rPr>
            </w:pPr>
            <w:proofErr w:type="spellStart"/>
            <w:r>
              <w:rPr>
                <w:rFonts w:ascii="Calibri" w:hAnsi="Calibri" w:cs="Calibri"/>
                <w:color w:val="000000"/>
                <w:sz w:val="22"/>
                <w:szCs w:val="22"/>
              </w:rPr>
              <w:t>Mod</w:t>
            </w:r>
            <w:proofErr w:type="spellEnd"/>
          </w:p>
        </w:tc>
        <w:tc>
          <w:tcPr>
            <w:tcW w:w="2145" w:type="dxa"/>
            <w:tcBorders>
              <w:top w:val="nil"/>
              <w:left w:val="nil"/>
              <w:bottom w:val="single" w:sz="4" w:space="0" w:color="auto"/>
              <w:right w:val="single" w:sz="4" w:space="0" w:color="auto"/>
            </w:tcBorders>
            <w:shd w:val="clear" w:color="auto" w:fill="auto"/>
            <w:noWrap/>
            <w:vAlign w:val="bottom"/>
            <w:hideMark/>
          </w:tcPr>
          <w:p w14:paraId="3849C296"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QPSK</w:t>
            </w:r>
          </w:p>
        </w:tc>
      </w:tr>
      <w:tr w:rsidR="00F42E95" w14:paraId="24D09327"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B1CD273"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CR</w:t>
            </w:r>
          </w:p>
        </w:tc>
        <w:tc>
          <w:tcPr>
            <w:tcW w:w="2145" w:type="dxa"/>
            <w:tcBorders>
              <w:top w:val="nil"/>
              <w:left w:val="nil"/>
              <w:bottom w:val="single" w:sz="4" w:space="0" w:color="auto"/>
              <w:right w:val="single" w:sz="4" w:space="0" w:color="auto"/>
            </w:tcBorders>
            <w:shd w:val="clear" w:color="auto" w:fill="auto"/>
            <w:noWrap/>
            <w:vAlign w:val="bottom"/>
            <w:hideMark/>
          </w:tcPr>
          <w:p w14:paraId="3BC2374F"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120/1024</w:t>
            </w:r>
          </w:p>
        </w:tc>
      </w:tr>
      <w:tr w:rsidR="00F42E95" w14:paraId="4657366D"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0A9F8DC"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Channel</w:t>
            </w:r>
          </w:p>
        </w:tc>
        <w:tc>
          <w:tcPr>
            <w:tcW w:w="2145" w:type="dxa"/>
            <w:tcBorders>
              <w:top w:val="nil"/>
              <w:left w:val="nil"/>
              <w:bottom w:val="single" w:sz="4" w:space="0" w:color="auto"/>
              <w:right w:val="single" w:sz="4" w:space="0" w:color="auto"/>
            </w:tcBorders>
            <w:shd w:val="clear" w:color="auto" w:fill="auto"/>
            <w:noWrap/>
            <w:vAlign w:val="bottom"/>
            <w:hideMark/>
          </w:tcPr>
          <w:p w14:paraId="43BD0AE1"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TDL-C 100ns</w:t>
            </w:r>
          </w:p>
        </w:tc>
      </w:tr>
      <w:tr w:rsidR="00F42E95" w14:paraId="467CC532" w14:textId="77777777" w:rsidTr="00F42E95">
        <w:trPr>
          <w:trHeight w:val="29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1ACFC187"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 xml:space="preserve">Number of </w:t>
            </w:r>
            <w:proofErr w:type="spellStart"/>
            <w:r>
              <w:rPr>
                <w:rFonts w:ascii="Calibri" w:hAnsi="Calibri" w:cs="Calibri"/>
                <w:color w:val="000000"/>
                <w:sz w:val="22"/>
                <w:szCs w:val="22"/>
              </w:rPr>
              <w:t>Rx</w:t>
            </w:r>
            <w:proofErr w:type="spellEnd"/>
          </w:p>
        </w:tc>
        <w:tc>
          <w:tcPr>
            <w:tcW w:w="2145" w:type="dxa"/>
            <w:tcBorders>
              <w:top w:val="nil"/>
              <w:left w:val="nil"/>
              <w:bottom w:val="single" w:sz="4" w:space="0" w:color="auto"/>
              <w:right w:val="single" w:sz="4" w:space="0" w:color="auto"/>
            </w:tcBorders>
            <w:shd w:val="clear" w:color="auto" w:fill="auto"/>
            <w:noWrap/>
            <w:vAlign w:val="bottom"/>
            <w:hideMark/>
          </w:tcPr>
          <w:p w14:paraId="2F4007EC" w14:textId="77777777" w:rsidR="00F42E95" w:rsidRDefault="00F42E95">
            <w:pPr>
              <w:jc w:val="center"/>
              <w:rPr>
                <w:rFonts w:ascii="Calibri" w:hAnsi="Calibri" w:cs="Calibri"/>
                <w:color w:val="000000"/>
                <w:sz w:val="22"/>
                <w:szCs w:val="22"/>
              </w:rPr>
            </w:pPr>
            <w:r>
              <w:rPr>
                <w:rFonts w:ascii="Calibri" w:hAnsi="Calibri" w:cs="Calibri"/>
                <w:color w:val="000000"/>
                <w:sz w:val="22"/>
                <w:szCs w:val="22"/>
              </w:rPr>
              <w:t>2</w:t>
            </w:r>
          </w:p>
        </w:tc>
      </w:tr>
    </w:tbl>
    <w:p w14:paraId="786A062B" w14:textId="77777777" w:rsidR="00192628" w:rsidRDefault="00192628" w:rsidP="00192628">
      <w:pPr>
        <w:rPr>
          <w:lang w:val="en-GB"/>
        </w:rPr>
      </w:pPr>
    </w:p>
    <w:p w14:paraId="200B2F43" w14:textId="77777777" w:rsidR="00192628" w:rsidRDefault="00192628" w:rsidP="00192628">
      <w:pPr>
        <w:rPr>
          <w:lang w:val="en-GB"/>
        </w:rPr>
      </w:pPr>
    </w:p>
    <w:p w14:paraId="522DA31A" w14:textId="77777777" w:rsidR="00192628" w:rsidRDefault="00192628" w:rsidP="00192628">
      <w:pPr>
        <w:rPr>
          <w:lang w:val="en-GB"/>
        </w:rPr>
      </w:pPr>
    </w:p>
    <w:p w14:paraId="3F0113B8" w14:textId="77777777" w:rsidR="00192628" w:rsidRDefault="00192628" w:rsidP="00192628">
      <w:pPr>
        <w:rPr>
          <w:lang w:val="en-GB"/>
        </w:rPr>
      </w:pPr>
    </w:p>
    <w:p w14:paraId="69F0C468" w14:textId="1645DEF2" w:rsidR="00192628" w:rsidRDefault="008815BE" w:rsidP="00F42E95">
      <w:pPr>
        <w:jc w:val="center"/>
        <w:rPr>
          <w:lang w:val="en-GB"/>
        </w:rPr>
      </w:pPr>
      <w:r>
        <w:rPr>
          <w:noProof/>
          <w:lang w:val="en-GB"/>
        </w:rPr>
        <w:drawing>
          <wp:inline distT="0" distB="0" distL="0" distR="0" wp14:anchorId="1186B1B3" wp14:editId="65E08FEE">
            <wp:extent cx="5980430" cy="2993145"/>
            <wp:effectExtent l="0" t="0" r="1270" b="0"/>
            <wp:docPr id="24670568" name="Grafik 4" descr="Ein Bild, das Entwurf, Reihe, Diagramm,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0568" name="Grafik 4" descr="Ein Bild, das Entwurf, Reihe, Diagramm, Zeichnung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83760" cy="2994811"/>
                    </a:xfrm>
                    <a:prstGeom prst="rect">
                      <a:avLst/>
                    </a:prstGeom>
                  </pic:spPr>
                </pic:pic>
              </a:graphicData>
            </a:graphic>
          </wp:inline>
        </w:drawing>
      </w:r>
    </w:p>
    <w:p w14:paraId="5A881BB6" w14:textId="77777777" w:rsidR="00192628" w:rsidRDefault="00192628" w:rsidP="00192628">
      <w:pPr>
        <w:rPr>
          <w:lang w:val="en-GB"/>
        </w:rPr>
      </w:pPr>
    </w:p>
    <w:p w14:paraId="27D3E902" w14:textId="77777777" w:rsidR="00192628" w:rsidRDefault="00192628" w:rsidP="00192628">
      <w:pPr>
        <w:rPr>
          <w:lang w:val="en-GB"/>
        </w:rPr>
      </w:pPr>
    </w:p>
    <w:p w14:paraId="6E8D5288" w14:textId="70067035" w:rsidR="00192628" w:rsidRDefault="008815BE" w:rsidP="00192628">
      <w:pPr>
        <w:rPr>
          <w:lang w:val="en-GB"/>
        </w:rPr>
      </w:pPr>
      <w:r>
        <w:rPr>
          <w:lang w:val="en-GB"/>
        </w:rPr>
        <w:t>The required SNR to achieve the TBLER of 10% for PDSCH using one transmission</w:t>
      </w:r>
      <w:r w:rsidR="00803A06">
        <w:rPr>
          <w:lang w:val="en-GB"/>
        </w:rPr>
        <w:t xml:space="preserve">, </w:t>
      </w:r>
      <w:r>
        <w:rPr>
          <w:lang w:val="en-GB"/>
        </w:rPr>
        <w:t>4</w:t>
      </w:r>
      <w:r w:rsidR="00803A06">
        <w:rPr>
          <w:lang w:val="en-GB"/>
        </w:rPr>
        <w:t xml:space="preserve"> </w:t>
      </w:r>
      <w:r>
        <w:rPr>
          <w:lang w:val="en-GB"/>
        </w:rPr>
        <w:t xml:space="preserve">transmissions, 8 transmissions </w:t>
      </w:r>
      <w:r w:rsidR="00803A06">
        <w:rPr>
          <w:lang w:val="en-GB"/>
        </w:rPr>
        <w:t xml:space="preserve">and 16 transmissions </w:t>
      </w:r>
      <w:r>
        <w:rPr>
          <w:lang w:val="en-GB"/>
        </w:rPr>
        <w:t>is -4 dB, -10dB, -13 dB</w:t>
      </w:r>
      <w:r w:rsidR="00803A06">
        <w:rPr>
          <w:lang w:val="en-GB"/>
        </w:rPr>
        <w:t>, and -16dB</w:t>
      </w:r>
      <w:r>
        <w:rPr>
          <w:lang w:val="en-GB"/>
        </w:rPr>
        <w:t xml:space="preserve"> respectively.</w:t>
      </w:r>
    </w:p>
    <w:p w14:paraId="4D5A8E1D" w14:textId="77777777" w:rsidR="008815BE" w:rsidRDefault="008815BE" w:rsidP="00192628">
      <w:pPr>
        <w:rPr>
          <w:lang w:val="en-GB"/>
        </w:rPr>
      </w:pPr>
    </w:p>
    <w:p w14:paraId="0648A177" w14:textId="77777777" w:rsidR="008815BE" w:rsidRDefault="008815BE" w:rsidP="00192628">
      <w:pPr>
        <w:rPr>
          <w:lang w:val="en-GB"/>
        </w:rPr>
      </w:pPr>
    </w:p>
    <w:p w14:paraId="38809025" w14:textId="77777777" w:rsidR="00192628" w:rsidRDefault="00192628" w:rsidP="00192628">
      <w:pPr>
        <w:rPr>
          <w:lang w:val="en-GB"/>
        </w:rPr>
      </w:pPr>
    </w:p>
    <w:p w14:paraId="088C79C6" w14:textId="0FD41B81" w:rsidR="00CF2354" w:rsidRDefault="00CF2354" w:rsidP="00CF2354">
      <w:pPr>
        <w:pStyle w:val="Beschriftung"/>
        <w:keepNext/>
        <w:jc w:val="center"/>
      </w:pPr>
      <w:r>
        <w:t xml:space="preserve">Table </w:t>
      </w:r>
      <w:r>
        <w:fldChar w:fldCharType="begin"/>
      </w:r>
      <w:r>
        <w:instrText xml:space="preserve"> SEQ Table \* ARABIC </w:instrText>
      </w:r>
      <w:r>
        <w:fldChar w:fldCharType="separate"/>
      </w:r>
      <w:r>
        <w:rPr>
          <w:noProof/>
        </w:rPr>
        <w:t>16</w:t>
      </w:r>
      <w:r>
        <w:fldChar w:fldCharType="end"/>
      </w:r>
      <w:r>
        <w:t xml:space="preserve"> PDSCH Coverage Gap</w:t>
      </w:r>
    </w:p>
    <w:tbl>
      <w:tblPr>
        <w:tblW w:w="5386" w:type="pct"/>
        <w:jc w:val="center"/>
        <w:tblLayout w:type="fixed"/>
        <w:tblCellMar>
          <w:left w:w="70" w:type="dxa"/>
          <w:right w:w="70" w:type="dxa"/>
        </w:tblCellMar>
        <w:tblLook w:val="04A0" w:firstRow="1" w:lastRow="0" w:firstColumn="1" w:lastColumn="0" w:noHBand="0" w:noVBand="1"/>
      </w:tblPr>
      <w:tblGrid>
        <w:gridCol w:w="977"/>
        <w:gridCol w:w="1134"/>
        <w:gridCol w:w="1418"/>
        <w:gridCol w:w="993"/>
        <w:gridCol w:w="1136"/>
        <w:gridCol w:w="568"/>
        <w:gridCol w:w="1275"/>
        <w:gridCol w:w="568"/>
        <w:gridCol w:w="1418"/>
        <w:gridCol w:w="875"/>
      </w:tblGrid>
      <w:tr w:rsidR="006A333D" w14:paraId="4BB7C4AB" w14:textId="77777777" w:rsidTr="006A333D">
        <w:trPr>
          <w:trHeight w:val="300"/>
          <w:jc w:val="center"/>
        </w:trPr>
        <w:tc>
          <w:tcPr>
            <w:tcW w:w="472"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3A0EF7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Elevation angle</w:t>
            </w:r>
          </w:p>
        </w:tc>
        <w:tc>
          <w:tcPr>
            <w:tcW w:w="547" w:type="pct"/>
            <w:tcBorders>
              <w:top w:val="single" w:sz="8" w:space="0" w:color="auto"/>
              <w:left w:val="nil"/>
              <w:bottom w:val="single" w:sz="8" w:space="0" w:color="auto"/>
              <w:right w:val="single" w:sz="8" w:space="0" w:color="auto"/>
            </w:tcBorders>
            <w:shd w:val="clear" w:color="auto" w:fill="auto"/>
            <w:noWrap/>
            <w:vAlign w:val="center"/>
            <w:hideMark/>
          </w:tcPr>
          <w:p w14:paraId="701031D9"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CNR [dB]</w:t>
            </w:r>
          </w:p>
        </w:tc>
        <w:tc>
          <w:tcPr>
            <w:tcW w:w="684" w:type="pct"/>
            <w:tcBorders>
              <w:top w:val="single" w:sz="8" w:space="0" w:color="auto"/>
              <w:left w:val="nil"/>
              <w:bottom w:val="single" w:sz="8" w:space="0" w:color="auto"/>
              <w:right w:val="single" w:sz="8" w:space="0" w:color="auto"/>
            </w:tcBorders>
            <w:shd w:val="clear" w:color="auto" w:fill="auto"/>
            <w:noWrap/>
            <w:vAlign w:val="center"/>
            <w:hideMark/>
          </w:tcPr>
          <w:p w14:paraId="38554ED0" w14:textId="77777777" w:rsidR="00803A06" w:rsidRDefault="00803A06">
            <w:pPr>
              <w:jc w:val="center"/>
              <w:rPr>
                <w:rFonts w:ascii="Calibri" w:hAnsi="Calibri" w:cs="Calibri"/>
                <w:color w:val="000000"/>
                <w:sz w:val="22"/>
                <w:szCs w:val="22"/>
              </w:rPr>
            </w:pPr>
            <w:r>
              <w:rPr>
                <w:rFonts w:ascii="Calibri" w:hAnsi="Calibri" w:cs="Calibri"/>
                <w:color w:val="000000"/>
                <w:sz w:val="22"/>
                <w:szCs w:val="22"/>
                <w:lang w:val="en-US"/>
              </w:rPr>
              <w:t xml:space="preserve"> SNR [dB] (PDSCH 1 Tr)</w:t>
            </w:r>
          </w:p>
        </w:tc>
        <w:tc>
          <w:tcPr>
            <w:tcW w:w="479" w:type="pct"/>
            <w:tcBorders>
              <w:top w:val="single" w:sz="8" w:space="0" w:color="auto"/>
              <w:left w:val="nil"/>
              <w:bottom w:val="single" w:sz="8" w:space="0" w:color="auto"/>
              <w:right w:val="single" w:sz="8" w:space="0" w:color="auto"/>
            </w:tcBorders>
            <w:shd w:val="clear" w:color="auto" w:fill="auto"/>
            <w:noWrap/>
            <w:vAlign w:val="center"/>
            <w:hideMark/>
          </w:tcPr>
          <w:p w14:paraId="3BBD5A81"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Gap [dB]</w:t>
            </w:r>
          </w:p>
        </w:tc>
        <w:tc>
          <w:tcPr>
            <w:tcW w:w="548" w:type="pct"/>
            <w:tcBorders>
              <w:top w:val="single" w:sz="8" w:space="0" w:color="auto"/>
              <w:left w:val="nil"/>
              <w:bottom w:val="single" w:sz="8" w:space="0" w:color="auto"/>
              <w:right w:val="single" w:sz="8" w:space="0" w:color="auto"/>
            </w:tcBorders>
            <w:shd w:val="clear" w:color="auto" w:fill="auto"/>
            <w:noWrap/>
            <w:vAlign w:val="center"/>
            <w:hideMark/>
          </w:tcPr>
          <w:p w14:paraId="6A45D1A4" w14:textId="77777777" w:rsidR="00803A06" w:rsidRDefault="00803A06">
            <w:pPr>
              <w:jc w:val="center"/>
              <w:rPr>
                <w:rFonts w:ascii="Calibri" w:hAnsi="Calibri" w:cs="Calibri"/>
                <w:color w:val="000000"/>
                <w:sz w:val="22"/>
                <w:szCs w:val="22"/>
              </w:rPr>
            </w:pPr>
            <w:r>
              <w:rPr>
                <w:rFonts w:ascii="Calibri" w:hAnsi="Calibri" w:cs="Calibri"/>
                <w:color w:val="000000"/>
                <w:sz w:val="22"/>
                <w:szCs w:val="22"/>
                <w:lang w:val="en-US"/>
              </w:rPr>
              <w:t xml:space="preserve"> SNR [dB] (PDSCH 4 Tr)</w:t>
            </w:r>
          </w:p>
        </w:tc>
        <w:tc>
          <w:tcPr>
            <w:tcW w:w="274" w:type="pct"/>
            <w:tcBorders>
              <w:top w:val="single" w:sz="8" w:space="0" w:color="auto"/>
              <w:left w:val="nil"/>
              <w:bottom w:val="single" w:sz="8" w:space="0" w:color="auto"/>
              <w:right w:val="single" w:sz="8" w:space="0" w:color="auto"/>
            </w:tcBorders>
            <w:shd w:val="clear" w:color="auto" w:fill="auto"/>
            <w:noWrap/>
            <w:vAlign w:val="center"/>
            <w:hideMark/>
          </w:tcPr>
          <w:p w14:paraId="1388650F"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Gap [dB]</w:t>
            </w:r>
          </w:p>
        </w:tc>
        <w:tc>
          <w:tcPr>
            <w:tcW w:w="615" w:type="pct"/>
            <w:tcBorders>
              <w:top w:val="single" w:sz="8" w:space="0" w:color="auto"/>
              <w:left w:val="nil"/>
              <w:bottom w:val="single" w:sz="8" w:space="0" w:color="auto"/>
              <w:right w:val="single" w:sz="8" w:space="0" w:color="auto"/>
            </w:tcBorders>
            <w:shd w:val="clear" w:color="auto" w:fill="auto"/>
            <w:noWrap/>
            <w:vAlign w:val="center"/>
            <w:hideMark/>
          </w:tcPr>
          <w:p w14:paraId="7299BA2D" w14:textId="77777777" w:rsidR="00803A06" w:rsidRDefault="00803A06">
            <w:pPr>
              <w:jc w:val="center"/>
              <w:rPr>
                <w:rFonts w:ascii="Calibri" w:hAnsi="Calibri" w:cs="Calibri"/>
                <w:color w:val="000000"/>
                <w:sz w:val="22"/>
                <w:szCs w:val="22"/>
              </w:rPr>
            </w:pPr>
            <w:r>
              <w:rPr>
                <w:rFonts w:ascii="Calibri" w:hAnsi="Calibri" w:cs="Calibri"/>
                <w:color w:val="000000"/>
                <w:sz w:val="22"/>
                <w:szCs w:val="22"/>
                <w:lang w:val="en-US"/>
              </w:rPr>
              <w:t xml:space="preserve"> SNR [dB] (PDSCH 8 Tr)</w:t>
            </w:r>
          </w:p>
        </w:tc>
        <w:tc>
          <w:tcPr>
            <w:tcW w:w="274" w:type="pct"/>
            <w:tcBorders>
              <w:top w:val="single" w:sz="8" w:space="0" w:color="auto"/>
              <w:left w:val="nil"/>
              <w:bottom w:val="single" w:sz="8" w:space="0" w:color="auto"/>
              <w:right w:val="single" w:sz="8" w:space="0" w:color="auto"/>
            </w:tcBorders>
            <w:shd w:val="clear" w:color="auto" w:fill="auto"/>
            <w:noWrap/>
            <w:vAlign w:val="center"/>
            <w:hideMark/>
          </w:tcPr>
          <w:p w14:paraId="0E88465D"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Gap [dB]</w:t>
            </w:r>
          </w:p>
        </w:tc>
        <w:tc>
          <w:tcPr>
            <w:tcW w:w="684" w:type="pct"/>
            <w:tcBorders>
              <w:top w:val="single" w:sz="8" w:space="0" w:color="auto"/>
              <w:left w:val="nil"/>
              <w:bottom w:val="single" w:sz="8" w:space="0" w:color="auto"/>
              <w:right w:val="single" w:sz="8" w:space="0" w:color="auto"/>
            </w:tcBorders>
            <w:shd w:val="clear" w:color="auto" w:fill="auto"/>
            <w:noWrap/>
            <w:vAlign w:val="center"/>
            <w:hideMark/>
          </w:tcPr>
          <w:p w14:paraId="1D00148F" w14:textId="77777777" w:rsidR="00803A06" w:rsidRDefault="00803A06">
            <w:pPr>
              <w:jc w:val="center"/>
              <w:rPr>
                <w:rFonts w:ascii="Calibri" w:hAnsi="Calibri" w:cs="Calibri"/>
                <w:color w:val="000000"/>
                <w:sz w:val="22"/>
                <w:szCs w:val="22"/>
              </w:rPr>
            </w:pPr>
            <w:r>
              <w:rPr>
                <w:rFonts w:ascii="Calibri" w:hAnsi="Calibri" w:cs="Calibri"/>
                <w:color w:val="000000"/>
                <w:sz w:val="22"/>
                <w:szCs w:val="22"/>
                <w:lang w:val="en-US"/>
              </w:rPr>
              <w:t xml:space="preserve"> SNR [dB] (PDSCH 16 Tr)</w:t>
            </w:r>
          </w:p>
        </w:tc>
        <w:tc>
          <w:tcPr>
            <w:tcW w:w="422" w:type="pct"/>
            <w:tcBorders>
              <w:top w:val="single" w:sz="8" w:space="0" w:color="auto"/>
              <w:left w:val="nil"/>
              <w:bottom w:val="single" w:sz="8" w:space="0" w:color="auto"/>
              <w:right w:val="single" w:sz="8" w:space="0" w:color="auto"/>
            </w:tcBorders>
            <w:shd w:val="clear" w:color="auto" w:fill="auto"/>
            <w:noWrap/>
            <w:vAlign w:val="center"/>
            <w:hideMark/>
          </w:tcPr>
          <w:p w14:paraId="2721835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Gap [dB]</w:t>
            </w:r>
          </w:p>
        </w:tc>
      </w:tr>
      <w:tr w:rsidR="006A333D" w14:paraId="1939804B"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6400B2D4"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5°</w:t>
            </w:r>
          </w:p>
        </w:tc>
        <w:tc>
          <w:tcPr>
            <w:tcW w:w="5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95FA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-22.6782</w:t>
            </w:r>
          </w:p>
        </w:tc>
        <w:tc>
          <w:tcPr>
            <w:tcW w:w="684" w:type="pct"/>
            <w:tcBorders>
              <w:top w:val="nil"/>
              <w:left w:val="nil"/>
              <w:bottom w:val="single" w:sz="8" w:space="0" w:color="auto"/>
              <w:right w:val="single" w:sz="8" w:space="0" w:color="auto"/>
            </w:tcBorders>
            <w:shd w:val="clear" w:color="auto" w:fill="auto"/>
            <w:noWrap/>
            <w:vAlign w:val="center"/>
            <w:hideMark/>
          </w:tcPr>
          <w:p w14:paraId="7336A3E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123B2E96"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18.7</w:t>
            </w:r>
          </w:p>
        </w:tc>
        <w:tc>
          <w:tcPr>
            <w:tcW w:w="548" w:type="pct"/>
            <w:tcBorders>
              <w:top w:val="nil"/>
              <w:left w:val="nil"/>
              <w:bottom w:val="single" w:sz="8" w:space="0" w:color="auto"/>
              <w:right w:val="single" w:sz="8" w:space="0" w:color="auto"/>
            </w:tcBorders>
            <w:shd w:val="clear" w:color="auto" w:fill="auto"/>
            <w:noWrap/>
            <w:vAlign w:val="center"/>
            <w:hideMark/>
          </w:tcPr>
          <w:p w14:paraId="0376FD99"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06EB868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12.7</w:t>
            </w:r>
          </w:p>
        </w:tc>
        <w:tc>
          <w:tcPr>
            <w:tcW w:w="615" w:type="pct"/>
            <w:tcBorders>
              <w:top w:val="nil"/>
              <w:left w:val="nil"/>
              <w:bottom w:val="single" w:sz="8" w:space="0" w:color="auto"/>
              <w:right w:val="single" w:sz="8" w:space="0" w:color="auto"/>
            </w:tcBorders>
            <w:shd w:val="clear" w:color="auto" w:fill="auto"/>
            <w:noWrap/>
            <w:vAlign w:val="center"/>
            <w:hideMark/>
          </w:tcPr>
          <w:p w14:paraId="14951934"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36F494C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9.7</w:t>
            </w:r>
          </w:p>
        </w:tc>
        <w:tc>
          <w:tcPr>
            <w:tcW w:w="684" w:type="pct"/>
            <w:tcBorders>
              <w:top w:val="nil"/>
              <w:left w:val="nil"/>
              <w:bottom w:val="single" w:sz="8" w:space="0" w:color="auto"/>
              <w:right w:val="single" w:sz="8" w:space="0" w:color="auto"/>
            </w:tcBorders>
            <w:shd w:val="clear" w:color="auto" w:fill="auto"/>
            <w:noWrap/>
            <w:vAlign w:val="center"/>
            <w:hideMark/>
          </w:tcPr>
          <w:p w14:paraId="5FFCEC5D"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0504839B"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6.7</w:t>
            </w:r>
          </w:p>
        </w:tc>
      </w:tr>
      <w:tr w:rsidR="006A333D" w14:paraId="772D505D"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4DFB6C7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417C624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-21.6778</w:t>
            </w:r>
          </w:p>
        </w:tc>
        <w:tc>
          <w:tcPr>
            <w:tcW w:w="684" w:type="pct"/>
            <w:tcBorders>
              <w:top w:val="nil"/>
              <w:left w:val="nil"/>
              <w:bottom w:val="single" w:sz="8" w:space="0" w:color="auto"/>
              <w:right w:val="single" w:sz="8" w:space="0" w:color="auto"/>
            </w:tcBorders>
            <w:shd w:val="clear" w:color="auto" w:fill="auto"/>
            <w:noWrap/>
            <w:vAlign w:val="center"/>
            <w:hideMark/>
          </w:tcPr>
          <w:p w14:paraId="5BD20F5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24A41BA8"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17.7</w:t>
            </w:r>
          </w:p>
        </w:tc>
        <w:tc>
          <w:tcPr>
            <w:tcW w:w="548" w:type="pct"/>
            <w:tcBorders>
              <w:top w:val="nil"/>
              <w:left w:val="nil"/>
              <w:bottom w:val="single" w:sz="8" w:space="0" w:color="auto"/>
              <w:right w:val="single" w:sz="8" w:space="0" w:color="auto"/>
            </w:tcBorders>
            <w:shd w:val="clear" w:color="auto" w:fill="auto"/>
            <w:noWrap/>
            <w:vAlign w:val="center"/>
            <w:hideMark/>
          </w:tcPr>
          <w:p w14:paraId="46C5D0B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2DE4469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11.7</w:t>
            </w:r>
          </w:p>
        </w:tc>
        <w:tc>
          <w:tcPr>
            <w:tcW w:w="615" w:type="pct"/>
            <w:tcBorders>
              <w:top w:val="nil"/>
              <w:left w:val="nil"/>
              <w:bottom w:val="single" w:sz="8" w:space="0" w:color="auto"/>
              <w:right w:val="single" w:sz="8" w:space="0" w:color="auto"/>
            </w:tcBorders>
            <w:shd w:val="clear" w:color="auto" w:fill="auto"/>
            <w:noWrap/>
            <w:vAlign w:val="center"/>
            <w:hideMark/>
          </w:tcPr>
          <w:p w14:paraId="29759182"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1E5C02F8"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8.7</w:t>
            </w:r>
          </w:p>
        </w:tc>
        <w:tc>
          <w:tcPr>
            <w:tcW w:w="684" w:type="pct"/>
            <w:tcBorders>
              <w:top w:val="nil"/>
              <w:left w:val="nil"/>
              <w:bottom w:val="single" w:sz="8" w:space="0" w:color="auto"/>
              <w:right w:val="single" w:sz="8" w:space="0" w:color="auto"/>
            </w:tcBorders>
            <w:shd w:val="clear" w:color="auto" w:fill="auto"/>
            <w:noWrap/>
            <w:vAlign w:val="center"/>
            <w:hideMark/>
          </w:tcPr>
          <w:p w14:paraId="4AEA964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2494AFE9"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5.7</w:t>
            </w:r>
          </w:p>
        </w:tc>
      </w:tr>
      <w:tr w:rsidR="006A333D" w14:paraId="2AE9E29D"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2070EE02"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25°</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27677DB2"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-13.8807</w:t>
            </w:r>
          </w:p>
        </w:tc>
        <w:tc>
          <w:tcPr>
            <w:tcW w:w="684" w:type="pct"/>
            <w:tcBorders>
              <w:top w:val="nil"/>
              <w:left w:val="nil"/>
              <w:bottom w:val="single" w:sz="8" w:space="0" w:color="auto"/>
              <w:right w:val="single" w:sz="8" w:space="0" w:color="auto"/>
            </w:tcBorders>
            <w:shd w:val="clear" w:color="auto" w:fill="auto"/>
            <w:noWrap/>
            <w:vAlign w:val="center"/>
            <w:hideMark/>
          </w:tcPr>
          <w:p w14:paraId="484DEDA1"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70A21CC4"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548" w:type="pct"/>
            <w:tcBorders>
              <w:top w:val="nil"/>
              <w:left w:val="nil"/>
              <w:bottom w:val="single" w:sz="8" w:space="0" w:color="auto"/>
              <w:right w:val="single" w:sz="8" w:space="0" w:color="auto"/>
            </w:tcBorders>
            <w:shd w:val="clear" w:color="auto" w:fill="auto"/>
            <w:noWrap/>
            <w:vAlign w:val="center"/>
            <w:hideMark/>
          </w:tcPr>
          <w:p w14:paraId="16367EE5"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43AEDC0D"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3.9</w:t>
            </w:r>
          </w:p>
        </w:tc>
        <w:tc>
          <w:tcPr>
            <w:tcW w:w="615" w:type="pct"/>
            <w:tcBorders>
              <w:top w:val="nil"/>
              <w:left w:val="nil"/>
              <w:bottom w:val="single" w:sz="8" w:space="0" w:color="auto"/>
              <w:right w:val="single" w:sz="8" w:space="0" w:color="auto"/>
            </w:tcBorders>
            <w:shd w:val="clear" w:color="auto" w:fill="auto"/>
            <w:noWrap/>
            <w:vAlign w:val="center"/>
            <w:hideMark/>
          </w:tcPr>
          <w:p w14:paraId="263CB5CB"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0216E2C6"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0.9</w:t>
            </w:r>
          </w:p>
        </w:tc>
        <w:tc>
          <w:tcPr>
            <w:tcW w:w="684" w:type="pct"/>
            <w:tcBorders>
              <w:top w:val="nil"/>
              <w:left w:val="nil"/>
              <w:bottom w:val="single" w:sz="8" w:space="0" w:color="auto"/>
              <w:right w:val="single" w:sz="8" w:space="0" w:color="auto"/>
            </w:tcBorders>
            <w:shd w:val="clear" w:color="auto" w:fill="auto"/>
            <w:noWrap/>
            <w:vAlign w:val="center"/>
            <w:hideMark/>
          </w:tcPr>
          <w:p w14:paraId="430677FB"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6A35BEE9"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-2.1</w:t>
            </w:r>
          </w:p>
        </w:tc>
      </w:tr>
      <w:tr w:rsidR="006A333D" w14:paraId="782E2ACD"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69A75F1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30°</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54F74507"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-13.7797</w:t>
            </w:r>
          </w:p>
        </w:tc>
        <w:tc>
          <w:tcPr>
            <w:tcW w:w="684" w:type="pct"/>
            <w:tcBorders>
              <w:top w:val="nil"/>
              <w:left w:val="nil"/>
              <w:bottom w:val="single" w:sz="8" w:space="0" w:color="auto"/>
              <w:right w:val="single" w:sz="8" w:space="0" w:color="auto"/>
            </w:tcBorders>
            <w:shd w:val="clear" w:color="auto" w:fill="auto"/>
            <w:noWrap/>
            <w:vAlign w:val="center"/>
            <w:hideMark/>
          </w:tcPr>
          <w:p w14:paraId="2D1FF15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3D7966C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9.8</w:t>
            </w:r>
          </w:p>
        </w:tc>
        <w:tc>
          <w:tcPr>
            <w:tcW w:w="548" w:type="pct"/>
            <w:tcBorders>
              <w:top w:val="nil"/>
              <w:left w:val="nil"/>
              <w:bottom w:val="single" w:sz="8" w:space="0" w:color="auto"/>
              <w:right w:val="single" w:sz="8" w:space="0" w:color="auto"/>
            </w:tcBorders>
            <w:shd w:val="clear" w:color="auto" w:fill="auto"/>
            <w:noWrap/>
            <w:vAlign w:val="center"/>
            <w:hideMark/>
          </w:tcPr>
          <w:p w14:paraId="7567A1A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23B24018"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3.8</w:t>
            </w:r>
          </w:p>
        </w:tc>
        <w:tc>
          <w:tcPr>
            <w:tcW w:w="615" w:type="pct"/>
            <w:tcBorders>
              <w:top w:val="nil"/>
              <w:left w:val="nil"/>
              <w:bottom w:val="single" w:sz="8" w:space="0" w:color="auto"/>
              <w:right w:val="single" w:sz="8" w:space="0" w:color="auto"/>
            </w:tcBorders>
            <w:shd w:val="clear" w:color="auto" w:fill="auto"/>
            <w:noWrap/>
            <w:vAlign w:val="center"/>
            <w:hideMark/>
          </w:tcPr>
          <w:p w14:paraId="08518EE5"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3BE3A72E"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0.8</w:t>
            </w:r>
          </w:p>
        </w:tc>
        <w:tc>
          <w:tcPr>
            <w:tcW w:w="684" w:type="pct"/>
            <w:tcBorders>
              <w:top w:val="nil"/>
              <w:left w:val="nil"/>
              <w:bottom w:val="single" w:sz="8" w:space="0" w:color="auto"/>
              <w:right w:val="single" w:sz="8" w:space="0" w:color="auto"/>
            </w:tcBorders>
            <w:shd w:val="clear" w:color="auto" w:fill="auto"/>
            <w:noWrap/>
            <w:vAlign w:val="center"/>
            <w:hideMark/>
          </w:tcPr>
          <w:p w14:paraId="27916E33"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113D4FE1"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-2.2</w:t>
            </w:r>
          </w:p>
        </w:tc>
      </w:tr>
      <w:tr w:rsidR="006A333D" w14:paraId="0DDCCC8E"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1E2CDFEE"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60°</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3A975ED7"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-13.6195</w:t>
            </w:r>
          </w:p>
        </w:tc>
        <w:tc>
          <w:tcPr>
            <w:tcW w:w="684" w:type="pct"/>
            <w:tcBorders>
              <w:top w:val="nil"/>
              <w:left w:val="nil"/>
              <w:bottom w:val="single" w:sz="8" w:space="0" w:color="auto"/>
              <w:right w:val="single" w:sz="8" w:space="0" w:color="auto"/>
            </w:tcBorders>
            <w:shd w:val="clear" w:color="auto" w:fill="auto"/>
            <w:noWrap/>
            <w:vAlign w:val="center"/>
            <w:hideMark/>
          </w:tcPr>
          <w:p w14:paraId="5C1E2C7B"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0C9D446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9.6</w:t>
            </w:r>
          </w:p>
        </w:tc>
        <w:tc>
          <w:tcPr>
            <w:tcW w:w="548" w:type="pct"/>
            <w:tcBorders>
              <w:top w:val="nil"/>
              <w:left w:val="nil"/>
              <w:bottom w:val="single" w:sz="8" w:space="0" w:color="auto"/>
              <w:right w:val="single" w:sz="8" w:space="0" w:color="auto"/>
            </w:tcBorders>
            <w:shd w:val="clear" w:color="auto" w:fill="auto"/>
            <w:noWrap/>
            <w:vAlign w:val="center"/>
            <w:hideMark/>
          </w:tcPr>
          <w:p w14:paraId="0854DA9D"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3A53744E"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3.6</w:t>
            </w:r>
          </w:p>
        </w:tc>
        <w:tc>
          <w:tcPr>
            <w:tcW w:w="615" w:type="pct"/>
            <w:tcBorders>
              <w:top w:val="nil"/>
              <w:left w:val="nil"/>
              <w:bottom w:val="single" w:sz="8" w:space="0" w:color="auto"/>
              <w:right w:val="single" w:sz="8" w:space="0" w:color="auto"/>
            </w:tcBorders>
            <w:shd w:val="clear" w:color="auto" w:fill="auto"/>
            <w:noWrap/>
            <w:vAlign w:val="center"/>
            <w:hideMark/>
          </w:tcPr>
          <w:p w14:paraId="2EA1A1D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09C97B5D"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0.6</w:t>
            </w:r>
          </w:p>
        </w:tc>
        <w:tc>
          <w:tcPr>
            <w:tcW w:w="684" w:type="pct"/>
            <w:tcBorders>
              <w:top w:val="nil"/>
              <w:left w:val="nil"/>
              <w:bottom w:val="single" w:sz="8" w:space="0" w:color="auto"/>
              <w:right w:val="single" w:sz="8" w:space="0" w:color="auto"/>
            </w:tcBorders>
            <w:shd w:val="clear" w:color="auto" w:fill="auto"/>
            <w:noWrap/>
            <w:vAlign w:val="center"/>
            <w:hideMark/>
          </w:tcPr>
          <w:p w14:paraId="118E4740"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1A501906"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-2.4</w:t>
            </w:r>
          </w:p>
        </w:tc>
      </w:tr>
      <w:tr w:rsidR="006A333D" w14:paraId="79C221CE" w14:textId="77777777" w:rsidTr="006A333D">
        <w:trPr>
          <w:trHeight w:val="300"/>
          <w:jc w:val="center"/>
        </w:trPr>
        <w:tc>
          <w:tcPr>
            <w:tcW w:w="472" w:type="pct"/>
            <w:tcBorders>
              <w:top w:val="nil"/>
              <w:left w:val="single" w:sz="8" w:space="0" w:color="auto"/>
              <w:bottom w:val="single" w:sz="8" w:space="0" w:color="auto"/>
              <w:right w:val="single" w:sz="8" w:space="0" w:color="auto"/>
            </w:tcBorders>
            <w:shd w:val="clear" w:color="auto" w:fill="auto"/>
            <w:noWrap/>
            <w:vAlign w:val="center"/>
            <w:hideMark/>
          </w:tcPr>
          <w:p w14:paraId="6AA0211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90°</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1C22C128"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-13.7449</w:t>
            </w:r>
          </w:p>
        </w:tc>
        <w:tc>
          <w:tcPr>
            <w:tcW w:w="684" w:type="pct"/>
            <w:tcBorders>
              <w:top w:val="nil"/>
              <w:left w:val="nil"/>
              <w:bottom w:val="single" w:sz="8" w:space="0" w:color="auto"/>
              <w:right w:val="single" w:sz="8" w:space="0" w:color="auto"/>
            </w:tcBorders>
            <w:shd w:val="clear" w:color="auto" w:fill="auto"/>
            <w:noWrap/>
            <w:vAlign w:val="center"/>
            <w:hideMark/>
          </w:tcPr>
          <w:p w14:paraId="7C58E5C8"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-4</w:t>
            </w:r>
          </w:p>
        </w:tc>
        <w:tc>
          <w:tcPr>
            <w:tcW w:w="479" w:type="pct"/>
            <w:tcBorders>
              <w:top w:val="nil"/>
              <w:left w:val="nil"/>
              <w:bottom w:val="single" w:sz="8" w:space="0" w:color="auto"/>
              <w:right w:val="single" w:sz="8" w:space="0" w:color="auto"/>
            </w:tcBorders>
            <w:shd w:val="clear" w:color="auto" w:fill="auto"/>
            <w:noWrap/>
            <w:vAlign w:val="center"/>
            <w:hideMark/>
          </w:tcPr>
          <w:p w14:paraId="79742A15"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9.7</w:t>
            </w:r>
          </w:p>
        </w:tc>
        <w:tc>
          <w:tcPr>
            <w:tcW w:w="548" w:type="pct"/>
            <w:tcBorders>
              <w:top w:val="nil"/>
              <w:left w:val="nil"/>
              <w:bottom w:val="single" w:sz="8" w:space="0" w:color="auto"/>
              <w:right w:val="single" w:sz="8" w:space="0" w:color="auto"/>
            </w:tcBorders>
            <w:shd w:val="clear" w:color="auto" w:fill="auto"/>
            <w:noWrap/>
            <w:vAlign w:val="center"/>
            <w:hideMark/>
          </w:tcPr>
          <w:p w14:paraId="787F4E5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-10</w:t>
            </w:r>
          </w:p>
        </w:tc>
        <w:tc>
          <w:tcPr>
            <w:tcW w:w="274" w:type="pct"/>
            <w:tcBorders>
              <w:top w:val="nil"/>
              <w:left w:val="nil"/>
              <w:bottom w:val="single" w:sz="8" w:space="0" w:color="auto"/>
              <w:right w:val="single" w:sz="8" w:space="0" w:color="auto"/>
            </w:tcBorders>
            <w:shd w:val="clear" w:color="auto" w:fill="auto"/>
            <w:noWrap/>
            <w:vAlign w:val="center"/>
            <w:hideMark/>
          </w:tcPr>
          <w:p w14:paraId="46EDD419"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3.7</w:t>
            </w:r>
          </w:p>
        </w:tc>
        <w:tc>
          <w:tcPr>
            <w:tcW w:w="615" w:type="pct"/>
            <w:tcBorders>
              <w:top w:val="nil"/>
              <w:left w:val="nil"/>
              <w:bottom w:val="single" w:sz="8" w:space="0" w:color="auto"/>
              <w:right w:val="single" w:sz="8" w:space="0" w:color="auto"/>
            </w:tcBorders>
            <w:shd w:val="clear" w:color="auto" w:fill="auto"/>
            <w:noWrap/>
            <w:vAlign w:val="center"/>
            <w:hideMark/>
          </w:tcPr>
          <w:p w14:paraId="2CEE913C"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-13</w:t>
            </w:r>
          </w:p>
        </w:tc>
        <w:tc>
          <w:tcPr>
            <w:tcW w:w="274" w:type="pct"/>
            <w:tcBorders>
              <w:top w:val="nil"/>
              <w:left w:val="nil"/>
              <w:bottom w:val="single" w:sz="8" w:space="0" w:color="auto"/>
              <w:right w:val="single" w:sz="8" w:space="0" w:color="auto"/>
            </w:tcBorders>
            <w:shd w:val="clear" w:color="auto" w:fill="auto"/>
            <w:noWrap/>
            <w:vAlign w:val="center"/>
            <w:hideMark/>
          </w:tcPr>
          <w:p w14:paraId="57466F94"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0.7</w:t>
            </w:r>
          </w:p>
        </w:tc>
        <w:tc>
          <w:tcPr>
            <w:tcW w:w="684" w:type="pct"/>
            <w:tcBorders>
              <w:top w:val="nil"/>
              <w:left w:val="nil"/>
              <w:bottom w:val="single" w:sz="8" w:space="0" w:color="auto"/>
              <w:right w:val="single" w:sz="8" w:space="0" w:color="auto"/>
            </w:tcBorders>
            <w:shd w:val="clear" w:color="auto" w:fill="auto"/>
            <w:noWrap/>
            <w:vAlign w:val="center"/>
            <w:hideMark/>
          </w:tcPr>
          <w:p w14:paraId="4433773A"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-16</w:t>
            </w:r>
          </w:p>
        </w:tc>
        <w:tc>
          <w:tcPr>
            <w:tcW w:w="422" w:type="pct"/>
            <w:tcBorders>
              <w:top w:val="nil"/>
              <w:left w:val="nil"/>
              <w:bottom w:val="single" w:sz="8" w:space="0" w:color="auto"/>
              <w:right w:val="single" w:sz="8" w:space="0" w:color="auto"/>
            </w:tcBorders>
            <w:shd w:val="clear" w:color="auto" w:fill="auto"/>
            <w:noWrap/>
            <w:vAlign w:val="center"/>
            <w:hideMark/>
          </w:tcPr>
          <w:p w14:paraId="0571CC95" w14:textId="77777777" w:rsidR="00803A06" w:rsidRDefault="00803A06">
            <w:pPr>
              <w:jc w:val="center"/>
              <w:rPr>
                <w:rFonts w:ascii="Calibri" w:hAnsi="Calibri" w:cs="Calibri"/>
                <w:color w:val="000000"/>
                <w:sz w:val="22"/>
                <w:szCs w:val="22"/>
              </w:rPr>
            </w:pPr>
            <w:r>
              <w:rPr>
                <w:rFonts w:ascii="Calibri" w:hAnsi="Calibri" w:cs="Calibri"/>
                <w:color w:val="000000"/>
                <w:sz w:val="22"/>
                <w:szCs w:val="22"/>
              </w:rPr>
              <w:t>-2.25</w:t>
            </w:r>
          </w:p>
        </w:tc>
      </w:tr>
    </w:tbl>
    <w:p w14:paraId="61EE895F" w14:textId="77777777" w:rsidR="00192628" w:rsidRDefault="00192628" w:rsidP="00192628">
      <w:pPr>
        <w:rPr>
          <w:lang w:val="en-GB"/>
        </w:rPr>
      </w:pPr>
    </w:p>
    <w:p w14:paraId="31FCA257" w14:textId="77777777" w:rsidR="00192628" w:rsidRDefault="00192628" w:rsidP="00192628">
      <w:pPr>
        <w:rPr>
          <w:lang w:val="en-GB"/>
        </w:rPr>
      </w:pPr>
    </w:p>
    <w:p w14:paraId="7B8E0028" w14:textId="49E49E2E" w:rsidR="006F370C" w:rsidRPr="008D66A0" w:rsidRDefault="006F370C" w:rsidP="006F37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sidR="003B4F2F">
        <w:rPr>
          <w:rFonts w:eastAsia="SimSun"/>
          <w:b/>
          <w:lang w:val="en-US"/>
        </w:rPr>
        <w:t>3</w:t>
      </w:r>
      <w:r w:rsidRPr="008D66A0">
        <w:rPr>
          <w:rFonts w:eastAsia="SimSun"/>
          <w:b/>
          <w:lang w:val="en-US"/>
        </w:rPr>
        <w:t xml:space="preserve">: The </w:t>
      </w:r>
      <w:r>
        <w:rPr>
          <w:rFonts w:eastAsia="SimSun"/>
          <w:b/>
          <w:lang w:val="en-US"/>
        </w:rPr>
        <w:t xml:space="preserve">current </w:t>
      </w:r>
      <w:r w:rsidRPr="008D66A0">
        <w:rPr>
          <w:rFonts w:eastAsia="SimSun"/>
          <w:b/>
          <w:lang w:val="en-US"/>
        </w:rPr>
        <w:t>regulation of limiting power flux density in S</w:t>
      </w:r>
      <w:r>
        <w:rPr>
          <w:rFonts w:eastAsia="SimSun"/>
          <w:b/>
          <w:lang w:val="en-US"/>
        </w:rPr>
        <w:t>-</w:t>
      </w:r>
      <w:r w:rsidRPr="008D66A0">
        <w:rPr>
          <w:rFonts w:eastAsia="SimSun"/>
          <w:b/>
          <w:lang w:val="en-US"/>
        </w:rPr>
        <w:t>band leads to low</w:t>
      </w:r>
      <w:r w:rsidR="00C2405D">
        <w:rPr>
          <w:rFonts w:eastAsia="SimSun"/>
          <w:b/>
          <w:lang w:val="en-US"/>
        </w:rPr>
        <w:t xml:space="preserve"> CNR</w:t>
      </w:r>
      <w:r w:rsidRPr="008D66A0">
        <w:rPr>
          <w:rFonts w:eastAsia="SimSun"/>
          <w:b/>
          <w:lang w:val="en-US"/>
        </w:rPr>
        <w:t>, which doesn’t meet PD</w:t>
      </w:r>
      <w:r>
        <w:rPr>
          <w:rFonts w:eastAsia="SimSun"/>
          <w:b/>
          <w:lang w:val="en-US"/>
        </w:rPr>
        <w:t>SC</w:t>
      </w:r>
      <w:r w:rsidRPr="008D66A0">
        <w:rPr>
          <w:rFonts w:eastAsia="SimSun"/>
          <w:b/>
          <w:lang w:val="en-US"/>
        </w:rPr>
        <w:t>H SNR requirements for LEO</w:t>
      </w:r>
      <w:r>
        <w:rPr>
          <w:rFonts w:eastAsia="SimSun"/>
          <w:b/>
          <w:lang w:val="en-US"/>
        </w:rPr>
        <w:t>-</w:t>
      </w:r>
      <w:r w:rsidRPr="008D66A0">
        <w:rPr>
          <w:rFonts w:eastAsia="SimSun"/>
          <w:b/>
          <w:lang w:val="en-US"/>
        </w:rPr>
        <w:t>600</w:t>
      </w:r>
      <w:r>
        <w:rPr>
          <w:rFonts w:eastAsia="SimSun"/>
          <w:b/>
          <w:lang w:val="en-US"/>
        </w:rPr>
        <w:t>.</w:t>
      </w:r>
    </w:p>
    <w:p w14:paraId="11A8E7A9" w14:textId="77777777" w:rsidR="006F370C" w:rsidRPr="008D66A0" w:rsidRDefault="006F370C" w:rsidP="006F37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p>
    <w:p w14:paraId="17CBEBE1" w14:textId="10DB6D8D" w:rsidR="006F370C" w:rsidRPr="008D66A0" w:rsidRDefault="006F370C" w:rsidP="006F37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sidR="003B4F2F">
        <w:rPr>
          <w:rFonts w:eastAsia="SimSun"/>
          <w:b/>
          <w:lang w:val="en-US"/>
        </w:rPr>
        <w:t>4</w:t>
      </w:r>
      <w:r w:rsidRPr="008D66A0">
        <w:rPr>
          <w:rFonts w:eastAsia="SimSun"/>
          <w:b/>
          <w:lang w:val="en-US"/>
        </w:rPr>
        <w:t xml:space="preserve">: </w:t>
      </w:r>
      <w:r>
        <w:rPr>
          <w:rFonts w:eastAsia="SimSun"/>
          <w:b/>
          <w:lang w:val="en-US"/>
        </w:rPr>
        <w:t>16 transmissions for PDSCH might be required</w:t>
      </w:r>
      <w:r w:rsidR="00B04F6D">
        <w:rPr>
          <w:rFonts w:eastAsia="SimSun"/>
          <w:b/>
          <w:lang w:val="en-US"/>
        </w:rPr>
        <w:t xml:space="preserve"> to meet link budget</w:t>
      </w:r>
      <w:r>
        <w:rPr>
          <w:rFonts w:eastAsia="SimSun"/>
          <w:b/>
          <w:lang w:val="en-US"/>
        </w:rPr>
        <w:t xml:space="preserve"> for LEO-600 if PFD regulation is to be considered. </w:t>
      </w:r>
    </w:p>
    <w:p w14:paraId="69131CBB" w14:textId="77777777" w:rsidR="006F370C" w:rsidRPr="00C25875" w:rsidRDefault="006F370C" w:rsidP="006F370C">
      <w:pPr>
        <w:rPr>
          <w:lang w:val="en-US"/>
        </w:rPr>
      </w:pPr>
    </w:p>
    <w:p w14:paraId="1D42313D" w14:textId="0899DB20" w:rsidR="006F370C" w:rsidRDefault="006F370C" w:rsidP="006F37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 xml:space="preserve">Proposal </w:t>
      </w:r>
      <w:r w:rsidR="00207FB9">
        <w:rPr>
          <w:rFonts w:eastAsia="SimSun"/>
          <w:b/>
          <w:lang w:val="en-US"/>
        </w:rPr>
        <w:t>4</w:t>
      </w:r>
      <w:r>
        <w:rPr>
          <w:rFonts w:eastAsia="SimSun"/>
          <w:b/>
          <w:lang w:val="en-US"/>
        </w:rPr>
        <w:t>: PDSCH coverage enhancement is needed for LEO-600 if PFD regulation is to be considered.</w:t>
      </w:r>
    </w:p>
    <w:p w14:paraId="7D52A048" w14:textId="77777777" w:rsidR="006F370C" w:rsidRDefault="006F370C" w:rsidP="006F37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p>
    <w:p w14:paraId="69834EBC" w14:textId="77777777" w:rsidR="00192628" w:rsidRDefault="00192628" w:rsidP="00192628">
      <w:pPr>
        <w:rPr>
          <w:lang w:val="en-US"/>
        </w:rPr>
      </w:pPr>
    </w:p>
    <w:p w14:paraId="47235D36" w14:textId="3524564D" w:rsidR="00207FB9" w:rsidRDefault="005763D4" w:rsidP="00207FB9">
      <w:pPr>
        <w:pStyle w:val="berschrift5"/>
        <w:numPr>
          <w:ilvl w:val="3"/>
          <w:numId w:val="35"/>
        </w:numPr>
        <w:rPr>
          <w:lang w:val="en-GB"/>
        </w:rPr>
      </w:pPr>
      <w:r>
        <w:rPr>
          <w:lang w:val="en-GB"/>
        </w:rPr>
        <w:t>Power</w:t>
      </w:r>
      <w:r w:rsidR="00207FB9" w:rsidRPr="00207FB9">
        <w:rPr>
          <w:lang w:val="en-GB"/>
        </w:rPr>
        <w:t xml:space="preserve"> sharing among satellite beams</w:t>
      </w:r>
    </w:p>
    <w:p w14:paraId="3F693A44" w14:textId="77777777" w:rsidR="00207FB9" w:rsidRDefault="00207FB9" w:rsidP="00207FB9">
      <w:pPr>
        <w:rPr>
          <w:lang w:val="en-GB"/>
        </w:rPr>
      </w:pPr>
    </w:p>
    <w:p w14:paraId="1E41889A" w14:textId="36B74856" w:rsidR="00207FB9" w:rsidRDefault="00207FB9" w:rsidP="00207FB9">
      <w:pPr>
        <w:rPr>
          <w:lang w:val="en-GB"/>
        </w:rPr>
      </w:pPr>
      <w:r>
        <w:rPr>
          <w:lang w:val="en-GB"/>
        </w:rPr>
        <w:t>As previously stated, sharing the power among satellite beams might reduce the PDSCH transmitted power</w:t>
      </w:r>
      <w:r w:rsidR="007077FC">
        <w:rPr>
          <w:lang w:val="en-GB"/>
        </w:rPr>
        <w:t>. As a result, PDSCH coverage enhancement should be considered (e.g., PDSCH repetition).</w:t>
      </w:r>
    </w:p>
    <w:p w14:paraId="21C58BAB" w14:textId="77777777" w:rsidR="00207FB9" w:rsidRDefault="00207FB9" w:rsidP="00207FB9">
      <w:pPr>
        <w:rPr>
          <w:lang w:val="en-GB"/>
        </w:rPr>
      </w:pPr>
    </w:p>
    <w:p w14:paraId="385AC9FD" w14:textId="489D952F" w:rsidR="00207FB9" w:rsidRPr="00E554CD" w:rsidRDefault="00207FB9" w:rsidP="00E554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5: PDSCH coverage enhancement is needed if power sharing techniques among satellite beams are to be considered.</w:t>
      </w:r>
    </w:p>
    <w:p w14:paraId="02EE937F" w14:textId="170163F5" w:rsidR="00646979" w:rsidRDefault="00AB30C1" w:rsidP="00D54405">
      <w:pPr>
        <w:pStyle w:val="berschrift1"/>
        <w:numPr>
          <w:ilvl w:val="0"/>
          <w:numId w:val="35"/>
        </w:numPr>
      </w:pPr>
      <w:r>
        <w:t>Conclusion</w:t>
      </w:r>
    </w:p>
    <w:p w14:paraId="33BC72B4" w14:textId="77777777" w:rsidR="003B4F2F" w:rsidRPr="003B4F2F" w:rsidRDefault="003B4F2F" w:rsidP="003B4F2F">
      <w:pPr>
        <w:rPr>
          <w:rFonts w:eastAsia="SimSun"/>
          <w:b/>
          <w:lang w:val="en-US"/>
        </w:rPr>
      </w:pPr>
      <w:r w:rsidRPr="003B4F2F">
        <w:rPr>
          <w:rFonts w:eastAsia="SimSun"/>
          <w:b/>
          <w:lang w:val="en-US"/>
        </w:rPr>
        <w:t>Observation 1: The current regulation of limiting power flux density in S-band leads to lower CNR compared to [2].</w:t>
      </w:r>
    </w:p>
    <w:p w14:paraId="39D1F652" w14:textId="77777777" w:rsidR="006F370C" w:rsidRPr="003B4F2F" w:rsidRDefault="006F370C" w:rsidP="006F370C">
      <w:pPr>
        <w:rPr>
          <w:lang w:val="en-US" w:eastAsia="en-US"/>
        </w:rPr>
      </w:pPr>
    </w:p>
    <w:p w14:paraId="3B679134" w14:textId="77777777" w:rsidR="003B4F2F" w:rsidRDefault="003B4F2F" w:rsidP="003B4F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Pr>
          <w:rFonts w:eastAsia="SimSun"/>
          <w:b/>
          <w:lang w:val="en-US"/>
        </w:rPr>
        <w:t>2</w:t>
      </w:r>
      <w:r w:rsidRPr="008D66A0">
        <w:rPr>
          <w:rFonts w:eastAsia="SimSun"/>
          <w:b/>
          <w:lang w:val="en-US"/>
        </w:rPr>
        <w:t xml:space="preserve">: The </w:t>
      </w:r>
      <w:r>
        <w:rPr>
          <w:rFonts w:eastAsia="SimSun"/>
          <w:b/>
          <w:lang w:val="en-US"/>
        </w:rPr>
        <w:t xml:space="preserve">current </w:t>
      </w:r>
      <w:r w:rsidRPr="008D66A0">
        <w:rPr>
          <w:rFonts w:eastAsia="SimSun"/>
          <w:b/>
          <w:lang w:val="en-US"/>
        </w:rPr>
        <w:t>regulation of limiting power flux density in S</w:t>
      </w:r>
      <w:r>
        <w:rPr>
          <w:rFonts w:eastAsia="SimSun"/>
          <w:b/>
          <w:lang w:val="en-US"/>
        </w:rPr>
        <w:t>-</w:t>
      </w:r>
      <w:r w:rsidRPr="008D66A0">
        <w:rPr>
          <w:rFonts w:eastAsia="SimSun"/>
          <w:b/>
          <w:lang w:val="en-US"/>
        </w:rPr>
        <w:t>band leads to low CNR, which doesn’t meet PDCCH SNR requirements for LEO</w:t>
      </w:r>
      <w:r>
        <w:rPr>
          <w:rFonts w:eastAsia="SimSun"/>
          <w:b/>
          <w:lang w:val="en-US"/>
        </w:rPr>
        <w:t>-</w:t>
      </w:r>
      <w:r w:rsidRPr="008D66A0">
        <w:rPr>
          <w:rFonts w:eastAsia="SimSun"/>
          <w:b/>
          <w:lang w:val="en-US"/>
        </w:rPr>
        <w:t>600</w:t>
      </w:r>
      <w:r>
        <w:rPr>
          <w:rFonts w:eastAsia="SimSun"/>
          <w:b/>
          <w:lang w:val="en-US"/>
        </w:rPr>
        <w:t>.</w:t>
      </w:r>
    </w:p>
    <w:p w14:paraId="085A2F39" w14:textId="77777777" w:rsidR="00CF08FA" w:rsidRDefault="00CF08FA" w:rsidP="003B4F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p>
    <w:p w14:paraId="1B570F3B" w14:textId="77777777" w:rsidR="00CF08FA" w:rsidRPr="008D66A0"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Pr>
          <w:rFonts w:eastAsia="SimSun"/>
          <w:b/>
          <w:lang w:val="en-US"/>
        </w:rPr>
        <w:t>3</w:t>
      </w:r>
      <w:r w:rsidRPr="008D66A0">
        <w:rPr>
          <w:rFonts w:eastAsia="SimSun"/>
          <w:b/>
          <w:lang w:val="en-US"/>
        </w:rPr>
        <w:t xml:space="preserve">: The </w:t>
      </w:r>
      <w:r>
        <w:rPr>
          <w:rFonts w:eastAsia="SimSun"/>
          <w:b/>
          <w:lang w:val="en-US"/>
        </w:rPr>
        <w:t xml:space="preserve">current </w:t>
      </w:r>
      <w:r w:rsidRPr="008D66A0">
        <w:rPr>
          <w:rFonts w:eastAsia="SimSun"/>
          <w:b/>
          <w:lang w:val="en-US"/>
        </w:rPr>
        <w:t>regulation of limiting power flux density in S</w:t>
      </w:r>
      <w:r>
        <w:rPr>
          <w:rFonts w:eastAsia="SimSun"/>
          <w:b/>
          <w:lang w:val="en-US"/>
        </w:rPr>
        <w:t>-</w:t>
      </w:r>
      <w:r w:rsidRPr="008D66A0">
        <w:rPr>
          <w:rFonts w:eastAsia="SimSun"/>
          <w:b/>
          <w:lang w:val="en-US"/>
        </w:rPr>
        <w:t>band leads to low</w:t>
      </w:r>
      <w:r>
        <w:rPr>
          <w:rFonts w:eastAsia="SimSun"/>
          <w:b/>
          <w:lang w:val="en-US"/>
        </w:rPr>
        <w:t xml:space="preserve"> CNR</w:t>
      </w:r>
      <w:r w:rsidRPr="008D66A0">
        <w:rPr>
          <w:rFonts w:eastAsia="SimSun"/>
          <w:b/>
          <w:lang w:val="en-US"/>
        </w:rPr>
        <w:t>, which doesn’t meet PD</w:t>
      </w:r>
      <w:r>
        <w:rPr>
          <w:rFonts w:eastAsia="SimSun"/>
          <w:b/>
          <w:lang w:val="en-US"/>
        </w:rPr>
        <w:t>SC</w:t>
      </w:r>
      <w:r w:rsidRPr="008D66A0">
        <w:rPr>
          <w:rFonts w:eastAsia="SimSun"/>
          <w:b/>
          <w:lang w:val="en-US"/>
        </w:rPr>
        <w:t>H SNR requirements for LEO</w:t>
      </w:r>
      <w:r>
        <w:rPr>
          <w:rFonts w:eastAsia="SimSun"/>
          <w:b/>
          <w:lang w:val="en-US"/>
        </w:rPr>
        <w:t>-</w:t>
      </w:r>
      <w:r w:rsidRPr="008D66A0">
        <w:rPr>
          <w:rFonts w:eastAsia="SimSun"/>
          <w:b/>
          <w:lang w:val="en-US"/>
        </w:rPr>
        <w:t>600</w:t>
      </w:r>
      <w:r>
        <w:rPr>
          <w:rFonts w:eastAsia="SimSun"/>
          <w:b/>
          <w:lang w:val="en-US"/>
        </w:rPr>
        <w:t>.</w:t>
      </w:r>
    </w:p>
    <w:p w14:paraId="75F01A87" w14:textId="77777777" w:rsidR="00CF08FA" w:rsidRPr="008D66A0"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p>
    <w:p w14:paraId="1736B3EB" w14:textId="77777777" w:rsidR="00CF08FA" w:rsidRPr="008D66A0"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eastAsia="SimSun"/>
          <w:b/>
          <w:lang w:val="en-US"/>
        </w:rPr>
      </w:pPr>
      <w:r w:rsidRPr="008D66A0">
        <w:rPr>
          <w:rFonts w:eastAsia="SimSun"/>
          <w:b/>
          <w:lang w:val="en-US"/>
        </w:rPr>
        <w:t xml:space="preserve">Observation </w:t>
      </w:r>
      <w:r>
        <w:rPr>
          <w:rFonts w:eastAsia="SimSun"/>
          <w:b/>
          <w:lang w:val="en-US"/>
        </w:rPr>
        <w:t>4</w:t>
      </w:r>
      <w:r w:rsidRPr="008D66A0">
        <w:rPr>
          <w:rFonts w:eastAsia="SimSun"/>
          <w:b/>
          <w:lang w:val="en-US"/>
        </w:rPr>
        <w:t xml:space="preserve">: </w:t>
      </w:r>
      <w:r>
        <w:rPr>
          <w:rFonts w:eastAsia="SimSun"/>
          <w:b/>
          <w:lang w:val="en-US"/>
        </w:rPr>
        <w:t xml:space="preserve">16 transmissions for PDSCH might be required to meet link budget for LEO-600 if PFD regulation is to be considered. </w:t>
      </w:r>
    </w:p>
    <w:p w14:paraId="0F3A484B" w14:textId="77777777" w:rsidR="003B4F2F" w:rsidRPr="00C25875" w:rsidRDefault="003B4F2F" w:rsidP="003B4F2F">
      <w:pPr>
        <w:rPr>
          <w:lang w:val="en-US"/>
        </w:rPr>
      </w:pPr>
    </w:p>
    <w:p w14:paraId="49F414E6" w14:textId="77777777" w:rsidR="003B4F2F" w:rsidRDefault="003B4F2F" w:rsidP="003B4F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1: PDCCH coverage enhancement is needed for LEO-600 if PFD regulation is to be considered.</w:t>
      </w:r>
    </w:p>
    <w:p w14:paraId="0E120134" w14:textId="77777777" w:rsidR="00F2384C" w:rsidRDefault="00F2384C" w:rsidP="00290CCC">
      <w:pPr>
        <w:rPr>
          <w:lang w:val="en-US"/>
        </w:rPr>
      </w:pPr>
    </w:p>
    <w:p w14:paraId="6CAEA588" w14:textId="77777777" w:rsidR="00CF08FA"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2: PDCCH coverage enhancement is needed if power sharing techniques among satellite beams are considered.</w:t>
      </w:r>
    </w:p>
    <w:p w14:paraId="03113E29" w14:textId="77777777" w:rsidR="00CF08FA" w:rsidRPr="00F22B1C" w:rsidRDefault="00CF08FA" w:rsidP="00CF08FA">
      <w:pPr>
        <w:rPr>
          <w:lang w:val="en-US"/>
        </w:rPr>
      </w:pPr>
    </w:p>
    <w:p w14:paraId="478A56BA" w14:textId="77777777" w:rsidR="00CF08FA"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3: PDCCH coverage enhancement techniques might include:</w:t>
      </w:r>
    </w:p>
    <w:p w14:paraId="212E0161" w14:textId="77777777" w:rsidR="00CF08FA" w:rsidRDefault="00CF08FA" w:rsidP="00CF08FA">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Reducing DCI size</w:t>
      </w:r>
    </w:p>
    <w:p w14:paraId="7CF7AE9E" w14:textId="77777777" w:rsidR="00CF08FA" w:rsidRDefault="00CF08FA" w:rsidP="00CF08FA">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Increasing AL</w:t>
      </w:r>
    </w:p>
    <w:p w14:paraId="03444243" w14:textId="6FD5F2E1" w:rsidR="00CF08FA" w:rsidRPr="00CF08FA" w:rsidRDefault="00CF08FA" w:rsidP="00CF08FA">
      <w:pPr>
        <w:pStyle w:val="Listenabsatz"/>
        <w:numPr>
          <w:ilvl w:val="0"/>
          <w:numId w:val="4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b/>
          <w:lang w:val="en-US"/>
        </w:rPr>
      </w:pPr>
      <w:r>
        <w:rPr>
          <w:b/>
          <w:lang w:val="en-US"/>
        </w:rPr>
        <w:t>Increasing number of transmission (PDCCH repetition)</w:t>
      </w:r>
    </w:p>
    <w:p w14:paraId="0C14F269" w14:textId="77777777" w:rsidR="00CF08FA" w:rsidRPr="00C25875" w:rsidRDefault="00CF08FA" w:rsidP="00CF08FA">
      <w:pPr>
        <w:rPr>
          <w:lang w:val="en-US"/>
        </w:rPr>
      </w:pPr>
    </w:p>
    <w:p w14:paraId="1AA45BCC" w14:textId="77777777" w:rsidR="00CF08FA"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4: PDSCH coverage enhancement is needed for LEO-600 if PFD regulation is to be considered.</w:t>
      </w:r>
    </w:p>
    <w:p w14:paraId="32D7262D" w14:textId="77777777" w:rsidR="000741A6" w:rsidRDefault="000741A6" w:rsidP="00290CCC">
      <w:pPr>
        <w:rPr>
          <w:lang w:val="en-US"/>
        </w:rPr>
      </w:pPr>
    </w:p>
    <w:p w14:paraId="0DA44C8C" w14:textId="77777777" w:rsidR="00CF08FA" w:rsidRPr="00E554CD" w:rsidRDefault="00CF08FA" w:rsidP="00CF08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eastAsia="SimSun"/>
          <w:b/>
          <w:lang w:val="en-US"/>
        </w:rPr>
      </w:pPr>
      <w:r>
        <w:rPr>
          <w:rFonts w:eastAsia="SimSun"/>
          <w:b/>
          <w:lang w:val="en-US"/>
        </w:rPr>
        <w:t>Proposal 5: PDSCH coverage enhancement is needed if power sharing techniques among satellite beams are to be considered.</w:t>
      </w:r>
    </w:p>
    <w:p w14:paraId="731C6F5E" w14:textId="77777777" w:rsidR="000741A6" w:rsidRPr="00332B69" w:rsidRDefault="000741A6" w:rsidP="00290CCC">
      <w:pPr>
        <w:rPr>
          <w:lang w:val="en-US"/>
        </w:rPr>
      </w:pPr>
    </w:p>
    <w:p w14:paraId="3A1C704A" w14:textId="58A59882" w:rsidR="00D26317" w:rsidRDefault="00D26317" w:rsidP="00D26317">
      <w:pPr>
        <w:pStyle w:val="berschrift1"/>
        <w:numPr>
          <w:ilvl w:val="0"/>
          <w:numId w:val="35"/>
        </w:numPr>
      </w:pPr>
      <w:r>
        <w:lastRenderedPageBreak/>
        <w:t>References</w:t>
      </w:r>
    </w:p>
    <w:p w14:paraId="211C467D" w14:textId="7225A338" w:rsidR="00347892" w:rsidRPr="00D41068" w:rsidRDefault="00AB4D3F" w:rsidP="00D26317">
      <w:pPr>
        <w:rPr>
          <w:lang w:val="en-US"/>
        </w:rPr>
      </w:pPr>
      <w:r w:rsidRPr="00AB4D3F">
        <w:rPr>
          <w:lang w:val="en-US"/>
        </w:rPr>
        <w:t xml:space="preserve">[1] </w:t>
      </w:r>
      <w:r w:rsidRPr="00D41068">
        <w:rPr>
          <w:lang w:val="en-US"/>
        </w:rPr>
        <w:t>RP-234078</w:t>
      </w:r>
      <w:r w:rsidR="004828CD" w:rsidRPr="00D41068">
        <w:rPr>
          <w:lang w:val="en-US"/>
        </w:rPr>
        <w:t>,</w:t>
      </w:r>
      <w:r w:rsidR="00B96392">
        <w:rPr>
          <w:lang w:val="en-US"/>
        </w:rPr>
        <w:t xml:space="preserve"> </w:t>
      </w:r>
      <w:r w:rsidR="004828CD" w:rsidRPr="00D41068">
        <w:rPr>
          <w:lang w:val="en-US"/>
        </w:rPr>
        <w:t>Non-Terrestrial Networks (NTN) for NR Phase 3</w:t>
      </w:r>
      <w:r w:rsidR="004828CD">
        <w:rPr>
          <w:lang w:val="en-US"/>
        </w:rPr>
        <w:t>”</w:t>
      </w:r>
    </w:p>
    <w:p w14:paraId="578637F5" w14:textId="759F0B41" w:rsidR="00AB4D3F" w:rsidRPr="00D41068" w:rsidRDefault="00AB4D3F" w:rsidP="00D26317">
      <w:pPr>
        <w:rPr>
          <w:lang w:val="en-US"/>
        </w:rPr>
      </w:pPr>
      <w:r w:rsidRPr="00D41068">
        <w:rPr>
          <w:lang w:val="en-US"/>
        </w:rPr>
        <w:t>[2] TR38.82</w:t>
      </w:r>
      <w:r w:rsidR="00652BE2">
        <w:rPr>
          <w:lang w:val="en-US"/>
        </w:rPr>
        <w:t xml:space="preserve">, </w:t>
      </w:r>
      <w:r w:rsidR="00652BE2" w:rsidRPr="00652BE2">
        <w:t>V16.2.0, “Solutions for NR to support non-terrestrial networks (NTN)”, March 2023</w:t>
      </w:r>
    </w:p>
    <w:p w14:paraId="49C72450" w14:textId="77777777" w:rsidR="00800867" w:rsidRPr="00800867" w:rsidRDefault="00800867" w:rsidP="00800867">
      <w:pPr>
        <w:rPr>
          <w:sz w:val="20"/>
          <w:szCs w:val="20"/>
          <w:lang w:val="en-US"/>
        </w:rPr>
      </w:pPr>
      <w:r w:rsidRPr="00800867">
        <w:rPr>
          <w:lang w:val="en-US"/>
        </w:rPr>
        <w:t xml:space="preserve">[3] </w:t>
      </w:r>
      <w:bookmarkStart w:id="3" w:name="_Ref110943357"/>
      <w:r w:rsidRPr="00800867">
        <w:rPr>
          <w:lang w:val="en-US"/>
        </w:rPr>
        <w:t>ITU Radio Regulations</w:t>
      </w:r>
      <w:r w:rsidRPr="00800867">
        <w:rPr>
          <w:lang w:val="en-US" w:eastAsia="ja-JP"/>
        </w:rPr>
        <w:t xml:space="preserve"> </w:t>
      </w:r>
      <w:r w:rsidRPr="00800867">
        <w:rPr>
          <w:lang w:val="en-US"/>
        </w:rPr>
        <w:t>Articles, Edition of 2020</w:t>
      </w:r>
      <w:bookmarkEnd w:id="3"/>
    </w:p>
    <w:p w14:paraId="3158B6D6" w14:textId="569B5AB9" w:rsidR="00435813" w:rsidRPr="006C68DE" w:rsidRDefault="004E597A" w:rsidP="00652BE2">
      <w:pPr>
        <w:rPr>
          <w:lang w:val="en-US"/>
        </w:rPr>
      </w:pPr>
      <w:r>
        <w:rPr>
          <w:lang w:val="en-US"/>
        </w:rPr>
        <w:t xml:space="preserve">[4] </w:t>
      </w:r>
      <w:r w:rsidR="006C68DE" w:rsidRPr="006C68DE">
        <w:rPr>
          <w:bCs/>
          <w:lang w:val="en-US"/>
        </w:rPr>
        <w:t>R1-</w:t>
      </w:r>
      <w:r w:rsidR="006C68DE" w:rsidRPr="00652BE2">
        <w:t>2312355</w:t>
      </w:r>
      <w:r w:rsidR="00652BE2" w:rsidRPr="00652BE2">
        <w:t xml:space="preserve">, </w:t>
      </w:r>
      <w:r w:rsidR="00652BE2" w:rsidRPr="00652BE2">
        <w:t>Feature lead summary on Evaluation Methodology for IMT-2020 satellite”, Moderator (Qualcomm Incorporated), 3GPP RAN#115, Nov 2023</w:t>
      </w:r>
    </w:p>
    <w:p w14:paraId="717F8451" w14:textId="79E9B2E6" w:rsidR="006C68DE" w:rsidRPr="00CA2754" w:rsidRDefault="006C68DE" w:rsidP="006C68DE">
      <w:pPr>
        <w:rPr>
          <w:lang w:val="en-US"/>
        </w:rPr>
      </w:pPr>
      <w:r w:rsidRPr="00CA2754">
        <w:rPr>
          <w:lang w:val="en-US"/>
        </w:rPr>
        <w:t xml:space="preserve">[5] </w:t>
      </w:r>
      <w:r w:rsidR="00CA2754" w:rsidRPr="00CA2754">
        <w:rPr>
          <w:lang w:val="en-US"/>
        </w:rPr>
        <w:t xml:space="preserve">ITU-R Recommendation </w:t>
      </w:r>
      <w:r w:rsidRPr="00CA2754">
        <w:rPr>
          <w:lang w:val="en-US"/>
        </w:rPr>
        <w:t>ITU-R P.618</w:t>
      </w:r>
      <w:r w:rsidR="00CA2754" w:rsidRPr="00CA2754">
        <w:rPr>
          <w:lang w:val="en-US"/>
        </w:rPr>
        <w:t xml:space="preserve"> </w:t>
      </w:r>
      <w:r w:rsidR="00CA2754" w:rsidRPr="00D41068">
        <w:rPr>
          <w:lang w:val="en-US"/>
        </w:rPr>
        <w:t>« Propagation data and prediction methods required for the design of Earth-space telecommunication systems</w:t>
      </w:r>
      <w:r w:rsidR="00BA36E7">
        <w:rPr>
          <w:lang w:val="en-US"/>
        </w:rPr>
        <w:t>.</w:t>
      </w:r>
      <w:r w:rsidR="00CA2754">
        <w:rPr>
          <w:lang w:val="en-US"/>
        </w:rPr>
        <w:t>”</w:t>
      </w:r>
    </w:p>
    <w:p w14:paraId="2A41E2FD" w14:textId="4404078E" w:rsidR="00435813" w:rsidRPr="00CA2754" w:rsidRDefault="00435813" w:rsidP="00D26317">
      <w:pPr>
        <w:rPr>
          <w:lang w:val="en-US"/>
        </w:rPr>
      </w:pPr>
    </w:p>
    <w:p w14:paraId="5DFCF993" w14:textId="0462E517" w:rsidR="00D652C7" w:rsidRPr="00CA2754" w:rsidRDefault="00D652C7" w:rsidP="00D26317">
      <w:pPr>
        <w:rPr>
          <w:lang w:val="en-US"/>
        </w:rPr>
      </w:pPr>
    </w:p>
    <w:sectPr w:rsidR="00D652C7" w:rsidRPr="00CA2754" w:rsidSect="006A333D">
      <w:headerReference w:type="even" r:id="rId17"/>
      <w:footerReference w:type="even" r:id="rId18"/>
      <w:footerReference w:type="default" r:id="rId19"/>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4C700" w14:textId="77777777" w:rsidR="00293C76" w:rsidRDefault="00293C76">
      <w:r>
        <w:separator/>
      </w:r>
    </w:p>
  </w:endnote>
  <w:endnote w:type="continuationSeparator" w:id="0">
    <w:p w14:paraId="180E5097" w14:textId="77777777" w:rsidR="00293C76" w:rsidRDefault="00293C76">
      <w:r>
        <w:continuationSeparator/>
      </w:r>
    </w:p>
  </w:endnote>
  <w:endnote w:type="continuationNotice" w:id="1">
    <w:p w14:paraId="59E1E07B" w14:textId="77777777" w:rsidR="00293C76" w:rsidRDefault="00293C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4177EE" w:rsidRDefault="004177EE" w:rsidP="00717CCC">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A2E7EE2" w14:textId="77777777" w:rsidR="004177EE" w:rsidRDefault="004177EE" w:rsidP="00717CC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672D59D9" w:rsidR="004177EE" w:rsidRDefault="004177EE" w:rsidP="00717CCC">
    <w:pPr>
      <w:pStyle w:val="Fuzeile"/>
      <w:ind w:right="360"/>
    </w:pPr>
    <w:r>
      <w:rPr>
        <w:rStyle w:val="Seitenzahl"/>
      </w:rPr>
      <w:fldChar w:fldCharType="begin"/>
    </w:r>
    <w:r>
      <w:rPr>
        <w:rStyle w:val="Seitenzahl"/>
      </w:rPr>
      <w:instrText xml:space="preserve"> PAGE </w:instrText>
    </w:r>
    <w:r>
      <w:rPr>
        <w:rStyle w:val="Seitenzahl"/>
      </w:rPr>
      <w:fldChar w:fldCharType="separate"/>
    </w:r>
    <w:r w:rsidR="001E626E">
      <w:rPr>
        <w:rStyle w:val="Seitenzahl"/>
      </w:rPr>
      <w:t>9</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1E626E">
      <w:rPr>
        <w:rStyle w:val="Seitenzahl"/>
      </w:rPr>
      <w:t>9</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722C4" w14:textId="77777777" w:rsidR="00293C76" w:rsidRDefault="00293C76">
      <w:r>
        <w:separator/>
      </w:r>
    </w:p>
  </w:footnote>
  <w:footnote w:type="continuationSeparator" w:id="0">
    <w:p w14:paraId="3933D12A" w14:textId="77777777" w:rsidR="00293C76" w:rsidRDefault="00293C76">
      <w:r>
        <w:continuationSeparator/>
      </w:r>
    </w:p>
  </w:footnote>
  <w:footnote w:type="continuationNotice" w:id="1">
    <w:p w14:paraId="5EC1FCD2" w14:textId="77777777" w:rsidR="00293C76" w:rsidRDefault="00293C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4177EE" w:rsidRDefault="004177E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471D"/>
    <w:multiLevelType w:val="hybridMultilevel"/>
    <w:tmpl w:val="EA380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95959"/>
    <w:multiLevelType w:val="multilevel"/>
    <w:tmpl w:val="1C183AB6"/>
    <w:lvl w:ilvl="0">
      <w:start w:val="1"/>
      <w:numFmt w:val="decimal"/>
      <w:lvlText w:val="%1"/>
      <w:lvlJc w:val="left"/>
      <w:pPr>
        <w:tabs>
          <w:tab w:val="num" w:pos="10770"/>
        </w:tabs>
        <w:ind w:left="1077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0B2E1062"/>
    <w:multiLevelType w:val="multilevel"/>
    <w:tmpl w:val="F8A8EFC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0D90025A"/>
    <w:multiLevelType w:val="hybridMultilevel"/>
    <w:tmpl w:val="BDD07B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E64C2E"/>
    <w:multiLevelType w:val="hybridMultilevel"/>
    <w:tmpl w:val="982E86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484486B"/>
    <w:multiLevelType w:val="hybridMultilevel"/>
    <w:tmpl w:val="D4D0B8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54A68CA"/>
    <w:multiLevelType w:val="hybridMultilevel"/>
    <w:tmpl w:val="92567F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794375E"/>
    <w:multiLevelType w:val="hybridMultilevel"/>
    <w:tmpl w:val="6A14F00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9E51B80"/>
    <w:multiLevelType w:val="hybridMultilevel"/>
    <w:tmpl w:val="7564E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DB443B"/>
    <w:multiLevelType w:val="hybridMultilevel"/>
    <w:tmpl w:val="6F6C22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E9437E"/>
    <w:multiLevelType w:val="hybridMultilevel"/>
    <w:tmpl w:val="055259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2222395"/>
    <w:multiLevelType w:val="hybridMultilevel"/>
    <w:tmpl w:val="7D48C43A"/>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594365"/>
    <w:multiLevelType w:val="multilevel"/>
    <w:tmpl w:val="2A59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F4076E8"/>
    <w:multiLevelType w:val="hybridMultilevel"/>
    <w:tmpl w:val="EBACE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255199E"/>
    <w:multiLevelType w:val="hybridMultilevel"/>
    <w:tmpl w:val="F5A4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8B51E8"/>
    <w:multiLevelType w:val="hybridMultilevel"/>
    <w:tmpl w:val="DF4621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A297BA0"/>
    <w:multiLevelType w:val="hybridMultilevel"/>
    <w:tmpl w:val="0302B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302F03"/>
    <w:multiLevelType w:val="hybridMultilevel"/>
    <w:tmpl w:val="A5A64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2A35BF"/>
    <w:multiLevelType w:val="hybridMultilevel"/>
    <w:tmpl w:val="49D498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6E15C73"/>
    <w:multiLevelType w:val="hybridMultilevel"/>
    <w:tmpl w:val="98C083CE"/>
    <w:lvl w:ilvl="0" w:tplc="040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6E61E1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9F5098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CFF1970"/>
    <w:multiLevelType w:val="hybridMultilevel"/>
    <w:tmpl w:val="204C5C96"/>
    <w:lvl w:ilvl="0" w:tplc="0420856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972208"/>
    <w:multiLevelType w:val="hybridMultilevel"/>
    <w:tmpl w:val="B080AA0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55142B7"/>
    <w:multiLevelType w:val="hybridMultilevel"/>
    <w:tmpl w:val="3FD8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134B38"/>
    <w:multiLevelType w:val="hybridMultilevel"/>
    <w:tmpl w:val="CCF69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BB686A"/>
    <w:multiLevelType w:val="hybridMultilevel"/>
    <w:tmpl w:val="E7F40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DC143E"/>
    <w:multiLevelType w:val="hybridMultilevel"/>
    <w:tmpl w:val="79BEF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7261BC"/>
    <w:multiLevelType w:val="hybridMultilevel"/>
    <w:tmpl w:val="52AE5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D97A62"/>
    <w:multiLevelType w:val="hybridMultilevel"/>
    <w:tmpl w:val="A858D69E"/>
    <w:lvl w:ilvl="0" w:tplc="00000001">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4" w15:restartNumberingAfterBreak="0">
    <w:nsid w:val="63422089"/>
    <w:multiLevelType w:val="hybridMultilevel"/>
    <w:tmpl w:val="EB42C4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69744891"/>
    <w:multiLevelType w:val="hybridMultilevel"/>
    <w:tmpl w:val="6CBC0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CA014F"/>
    <w:multiLevelType w:val="hybridMultilevel"/>
    <w:tmpl w:val="8FAAE24E"/>
    <w:lvl w:ilvl="0" w:tplc="E0A81060">
      <w:start w:val="1"/>
      <w:numFmt w:val="decimal"/>
      <w:lvlText w:val="%1."/>
      <w:lvlJc w:val="left"/>
      <w:pPr>
        <w:ind w:left="360" w:hanging="360"/>
      </w:pPr>
      <w:rPr>
        <w:rFonts w:eastAsia="Times New Roma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0C788E"/>
    <w:multiLevelType w:val="hybridMultilevel"/>
    <w:tmpl w:val="613A5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F277E"/>
    <w:multiLevelType w:val="hybridMultilevel"/>
    <w:tmpl w:val="8A52E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D2266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9C4BF3"/>
    <w:multiLevelType w:val="hybridMultilevel"/>
    <w:tmpl w:val="3F1687A8"/>
    <w:lvl w:ilvl="0" w:tplc="6F64F31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hybridMultilevel"/>
    <w:tmpl w:val="163C68B2"/>
    <w:lvl w:ilvl="0" w:tplc="BA2E1BF2">
      <w:start w:val="1"/>
      <w:numFmt w:val="bullet"/>
      <w:pStyle w:val="Aufzhlungszeichen"/>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3" w15:restartNumberingAfterBreak="0">
    <w:nsid w:val="7DC553CF"/>
    <w:multiLevelType w:val="hybridMultilevel"/>
    <w:tmpl w:val="CFB03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DB7ED0"/>
    <w:multiLevelType w:val="hybridMultilevel"/>
    <w:tmpl w:val="6F6C22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F2E6BB9"/>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7F681D9F"/>
    <w:multiLevelType w:val="hybridMultilevel"/>
    <w:tmpl w:val="46E08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8647124">
    <w:abstractNumId w:val="1"/>
  </w:num>
  <w:num w:numId="2" w16cid:durableId="660042527">
    <w:abstractNumId w:val="42"/>
  </w:num>
  <w:num w:numId="3" w16cid:durableId="1986622921">
    <w:abstractNumId w:val="10"/>
  </w:num>
  <w:num w:numId="4" w16cid:durableId="2126382988">
    <w:abstractNumId w:val="26"/>
  </w:num>
  <w:num w:numId="5" w16cid:durableId="75250088">
    <w:abstractNumId w:val="6"/>
  </w:num>
  <w:num w:numId="6" w16cid:durableId="789711715">
    <w:abstractNumId w:val="30"/>
  </w:num>
  <w:num w:numId="7" w16cid:durableId="1635987953">
    <w:abstractNumId w:val="35"/>
  </w:num>
  <w:num w:numId="8" w16cid:durableId="2003190869">
    <w:abstractNumId w:val="37"/>
  </w:num>
  <w:num w:numId="9" w16cid:durableId="151454833">
    <w:abstractNumId w:val="28"/>
  </w:num>
  <w:num w:numId="10" w16cid:durableId="1883203132">
    <w:abstractNumId w:val="5"/>
  </w:num>
  <w:num w:numId="11" w16cid:durableId="181210940">
    <w:abstractNumId w:val="46"/>
  </w:num>
  <w:num w:numId="12" w16cid:durableId="1705207986">
    <w:abstractNumId w:val="29"/>
  </w:num>
  <w:num w:numId="13" w16cid:durableId="986858870">
    <w:abstractNumId w:val="43"/>
  </w:num>
  <w:num w:numId="14" w16cid:durableId="107504064">
    <w:abstractNumId w:val="18"/>
  </w:num>
  <w:num w:numId="15" w16cid:durableId="1531651242">
    <w:abstractNumId w:val="0"/>
  </w:num>
  <w:num w:numId="16" w16cid:durableId="140314162">
    <w:abstractNumId w:val="21"/>
  </w:num>
  <w:num w:numId="17" w16cid:durableId="1392197869">
    <w:abstractNumId w:val="31"/>
  </w:num>
  <w:num w:numId="18" w16cid:durableId="1135870000">
    <w:abstractNumId w:val="12"/>
  </w:num>
  <w:num w:numId="19" w16cid:durableId="443037138">
    <w:abstractNumId w:val="44"/>
  </w:num>
  <w:num w:numId="20" w16cid:durableId="1894194696">
    <w:abstractNumId w:val="38"/>
  </w:num>
  <w:num w:numId="21" w16cid:durableId="1012999767">
    <w:abstractNumId w:val="15"/>
  </w:num>
  <w:num w:numId="22" w16cid:durableId="1230656048">
    <w:abstractNumId w:val="32"/>
  </w:num>
  <w:num w:numId="23" w16cid:durableId="332608112">
    <w:abstractNumId w:val="14"/>
  </w:num>
  <w:num w:numId="24" w16cid:durableId="1771199336">
    <w:abstractNumId w:val="41"/>
  </w:num>
  <w:num w:numId="25" w16cid:durableId="1475221703">
    <w:abstractNumId w:val="9"/>
  </w:num>
  <w:num w:numId="26" w16cid:durableId="569465642">
    <w:abstractNumId w:val="36"/>
  </w:num>
  <w:num w:numId="27" w16cid:durableId="1459032674">
    <w:abstractNumId w:val="20"/>
  </w:num>
  <w:num w:numId="28" w16cid:durableId="1140075347">
    <w:abstractNumId w:val="24"/>
  </w:num>
  <w:num w:numId="29" w16cid:durableId="375202065">
    <w:abstractNumId w:val="25"/>
  </w:num>
  <w:num w:numId="30" w16cid:durableId="2038070518">
    <w:abstractNumId w:val="27"/>
  </w:num>
  <w:num w:numId="31" w16cid:durableId="1918898446">
    <w:abstractNumId w:val="39"/>
  </w:num>
  <w:num w:numId="32" w16cid:durableId="758721125">
    <w:abstractNumId w:val="13"/>
  </w:num>
  <w:num w:numId="33" w16cid:durableId="1527450129">
    <w:abstractNumId w:val="34"/>
  </w:num>
  <w:num w:numId="34" w16cid:durableId="1731994514">
    <w:abstractNumId w:val="23"/>
  </w:num>
  <w:num w:numId="35" w16cid:durableId="1591697254">
    <w:abstractNumId w:val="2"/>
  </w:num>
  <w:num w:numId="36" w16cid:durableId="294722141">
    <w:abstractNumId w:val="4"/>
  </w:num>
  <w:num w:numId="37" w16cid:durableId="1372001086">
    <w:abstractNumId w:val="14"/>
  </w:num>
  <w:num w:numId="38" w16cid:durableId="1652631977">
    <w:abstractNumId w:val="45"/>
  </w:num>
  <w:num w:numId="39" w16cid:durableId="242377593">
    <w:abstractNumId w:val="11"/>
  </w:num>
  <w:num w:numId="40" w16cid:durableId="1618178913">
    <w:abstractNumId w:val="8"/>
  </w:num>
  <w:num w:numId="41" w16cid:durableId="1682731366">
    <w:abstractNumId w:val="17"/>
  </w:num>
  <w:num w:numId="42" w16cid:durableId="10593983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55508536">
    <w:abstractNumId w:val="22"/>
  </w:num>
  <w:num w:numId="44" w16cid:durableId="1465347586">
    <w:abstractNumId w:val="3"/>
  </w:num>
  <w:num w:numId="45" w16cid:durableId="240798514">
    <w:abstractNumId w:val="7"/>
  </w:num>
  <w:num w:numId="46" w16cid:durableId="1183401972">
    <w:abstractNumId w:val="40"/>
  </w:num>
  <w:num w:numId="47" w16cid:durableId="198016023">
    <w:abstractNumId w:val="16"/>
  </w:num>
  <w:num w:numId="48" w16cid:durableId="20395692">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bordersDoNotSurroundHeader/>
  <w:bordersDoNotSurroundFooter/>
  <w:proofState w:spelling="clean"/>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000019E9"/>
    <w:rsid w:val="00001F83"/>
    <w:rsid w:val="00003D45"/>
    <w:rsid w:val="000052EA"/>
    <w:rsid w:val="00005895"/>
    <w:rsid w:val="00005AD5"/>
    <w:rsid w:val="00005C95"/>
    <w:rsid w:val="000067D8"/>
    <w:rsid w:val="00007430"/>
    <w:rsid w:val="0000789C"/>
    <w:rsid w:val="00012684"/>
    <w:rsid w:val="00013519"/>
    <w:rsid w:val="0001382A"/>
    <w:rsid w:val="00013AC4"/>
    <w:rsid w:val="00014F85"/>
    <w:rsid w:val="00015ADE"/>
    <w:rsid w:val="000162E1"/>
    <w:rsid w:val="00017C6B"/>
    <w:rsid w:val="0002016E"/>
    <w:rsid w:val="00020760"/>
    <w:rsid w:val="00021F58"/>
    <w:rsid w:val="00022216"/>
    <w:rsid w:val="00022611"/>
    <w:rsid w:val="00022E30"/>
    <w:rsid w:val="000236C6"/>
    <w:rsid w:val="000239F3"/>
    <w:rsid w:val="00024968"/>
    <w:rsid w:val="000263FF"/>
    <w:rsid w:val="00026991"/>
    <w:rsid w:val="00031927"/>
    <w:rsid w:val="000350B2"/>
    <w:rsid w:val="00036772"/>
    <w:rsid w:val="000369AA"/>
    <w:rsid w:val="000369C3"/>
    <w:rsid w:val="00037582"/>
    <w:rsid w:val="00037919"/>
    <w:rsid w:val="0004041F"/>
    <w:rsid w:val="00040749"/>
    <w:rsid w:val="00041246"/>
    <w:rsid w:val="00042869"/>
    <w:rsid w:val="00042BED"/>
    <w:rsid w:val="00042EA4"/>
    <w:rsid w:val="00043E01"/>
    <w:rsid w:val="000444B1"/>
    <w:rsid w:val="00045BDF"/>
    <w:rsid w:val="00046020"/>
    <w:rsid w:val="00046554"/>
    <w:rsid w:val="00047265"/>
    <w:rsid w:val="000500F7"/>
    <w:rsid w:val="00052F0F"/>
    <w:rsid w:val="000543D1"/>
    <w:rsid w:val="00054E5C"/>
    <w:rsid w:val="000567F0"/>
    <w:rsid w:val="0005729B"/>
    <w:rsid w:val="00057947"/>
    <w:rsid w:val="00063DAE"/>
    <w:rsid w:val="000650B3"/>
    <w:rsid w:val="00065550"/>
    <w:rsid w:val="00065566"/>
    <w:rsid w:val="00067B28"/>
    <w:rsid w:val="000707F2"/>
    <w:rsid w:val="00071AA9"/>
    <w:rsid w:val="00071F0A"/>
    <w:rsid w:val="000734CA"/>
    <w:rsid w:val="000741A6"/>
    <w:rsid w:val="00076505"/>
    <w:rsid w:val="00077A25"/>
    <w:rsid w:val="00081CDD"/>
    <w:rsid w:val="0008215D"/>
    <w:rsid w:val="0008230A"/>
    <w:rsid w:val="00082A76"/>
    <w:rsid w:val="00085CDB"/>
    <w:rsid w:val="00086EC3"/>
    <w:rsid w:val="00087564"/>
    <w:rsid w:val="00087DAE"/>
    <w:rsid w:val="000902F3"/>
    <w:rsid w:val="0009078F"/>
    <w:rsid w:val="000915B9"/>
    <w:rsid w:val="00095D03"/>
    <w:rsid w:val="00096010"/>
    <w:rsid w:val="00096267"/>
    <w:rsid w:val="00097E6B"/>
    <w:rsid w:val="000A10B3"/>
    <w:rsid w:val="000A21A9"/>
    <w:rsid w:val="000A35E3"/>
    <w:rsid w:val="000A659F"/>
    <w:rsid w:val="000A716F"/>
    <w:rsid w:val="000B052A"/>
    <w:rsid w:val="000B118C"/>
    <w:rsid w:val="000B1990"/>
    <w:rsid w:val="000B1B70"/>
    <w:rsid w:val="000B1F4B"/>
    <w:rsid w:val="000B213C"/>
    <w:rsid w:val="000B240E"/>
    <w:rsid w:val="000B3E7A"/>
    <w:rsid w:val="000B5C1B"/>
    <w:rsid w:val="000B5F64"/>
    <w:rsid w:val="000C30A8"/>
    <w:rsid w:val="000C3880"/>
    <w:rsid w:val="000C4D41"/>
    <w:rsid w:val="000C5D30"/>
    <w:rsid w:val="000C6FD1"/>
    <w:rsid w:val="000C7D28"/>
    <w:rsid w:val="000D1C42"/>
    <w:rsid w:val="000D3095"/>
    <w:rsid w:val="000D334F"/>
    <w:rsid w:val="000D4151"/>
    <w:rsid w:val="000D516F"/>
    <w:rsid w:val="000D5647"/>
    <w:rsid w:val="000D6EF8"/>
    <w:rsid w:val="000D756E"/>
    <w:rsid w:val="000D78E3"/>
    <w:rsid w:val="000E0526"/>
    <w:rsid w:val="000E1342"/>
    <w:rsid w:val="000E176A"/>
    <w:rsid w:val="000E330D"/>
    <w:rsid w:val="000E362B"/>
    <w:rsid w:val="000E370F"/>
    <w:rsid w:val="000E3D75"/>
    <w:rsid w:val="000E3FCD"/>
    <w:rsid w:val="000E5A3E"/>
    <w:rsid w:val="000E6042"/>
    <w:rsid w:val="000F17C1"/>
    <w:rsid w:val="000F243A"/>
    <w:rsid w:val="000F2A2F"/>
    <w:rsid w:val="000F3A7F"/>
    <w:rsid w:val="000F50DD"/>
    <w:rsid w:val="000F70C7"/>
    <w:rsid w:val="001000FD"/>
    <w:rsid w:val="0010027A"/>
    <w:rsid w:val="00100D50"/>
    <w:rsid w:val="0010118A"/>
    <w:rsid w:val="00101C4B"/>
    <w:rsid w:val="0010253A"/>
    <w:rsid w:val="001030EF"/>
    <w:rsid w:val="001044B8"/>
    <w:rsid w:val="00111629"/>
    <w:rsid w:val="001119A6"/>
    <w:rsid w:val="0011427A"/>
    <w:rsid w:val="00114286"/>
    <w:rsid w:val="001146F8"/>
    <w:rsid w:val="00114D8E"/>
    <w:rsid w:val="001162F1"/>
    <w:rsid w:val="001204F1"/>
    <w:rsid w:val="00120A81"/>
    <w:rsid w:val="001218E1"/>
    <w:rsid w:val="00122D19"/>
    <w:rsid w:val="001232EC"/>
    <w:rsid w:val="00124E25"/>
    <w:rsid w:val="00124E5D"/>
    <w:rsid w:val="00125229"/>
    <w:rsid w:val="00125558"/>
    <w:rsid w:val="00125DAC"/>
    <w:rsid w:val="001266A1"/>
    <w:rsid w:val="001300A9"/>
    <w:rsid w:val="00132BDB"/>
    <w:rsid w:val="00134BEE"/>
    <w:rsid w:val="00135D79"/>
    <w:rsid w:val="0013602A"/>
    <w:rsid w:val="001369AD"/>
    <w:rsid w:val="00141499"/>
    <w:rsid w:val="001427E2"/>
    <w:rsid w:val="0014319E"/>
    <w:rsid w:val="0014492A"/>
    <w:rsid w:val="00144F61"/>
    <w:rsid w:val="0014659F"/>
    <w:rsid w:val="00146E52"/>
    <w:rsid w:val="001473D4"/>
    <w:rsid w:val="00147964"/>
    <w:rsid w:val="00147D57"/>
    <w:rsid w:val="001526B8"/>
    <w:rsid w:val="001536B5"/>
    <w:rsid w:val="00154C05"/>
    <w:rsid w:val="0015563F"/>
    <w:rsid w:val="00155CC5"/>
    <w:rsid w:val="0015697F"/>
    <w:rsid w:val="00157858"/>
    <w:rsid w:val="0015790E"/>
    <w:rsid w:val="00160710"/>
    <w:rsid w:val="001617A5"/>
    <w:rsid w:val="001635CB"/>
    <w:rsid w:val="001636D6"/>
    <w:rsid w:val="001650C3"/>
    <w:rsid w:val="001653B4"/>
    <w:rsid w:val="00165F33"/>
    <w:rsid w:val="00166438"/>
    <w:rsid w:val="00166645"/>
    <w:rsid w:val="00167E97"/>
    <w:rsid w:val="00170977"/>
    <w:rsid w:val="001711B6"/>
    <w:rsid w:val="00173143"/>
    <w:rsid w:val="00173346"/>
    <w:rsid w:val="00173833"/>
    <w:rsid w:val="00175AF0"/>
    <w:rsid w:val="00176A4C"/>
    <w:rsid w:val="001802C6"/>
    <w:rsid w:val="001839D7"/>
    <w:rsid w:val="00184BF6"/>
    <w:rsid w:val="00184E59"/>
    <w:rsid w:val="001853AB"/>
    <w:rsid w:val="0018629F"/>
    <w:rsid w:val="001869C5"/>
    <w:rsid w:val="001905A1"/>
    <w:rsid w:val="001905F2"/>
    <w:rsid w:val="00190E24"/>
    <w:rsid w:val="00191400"/>
    <w:rsid w:val="00192628"/>
    <w:rsid w:val="00192935"/>
    <w:rsid w:val="00192AD0"/>
    <w:rsid w:val="00193D8B"/>
    <w:rsid w:val="00194F81"/>
    <w:rsid w:val="001952B4"/>
    <w:rsid w:val="00196A41"/>
    <w:rsid w:val="001978DA"/>
    <w:rsid w:val="001A0106"/>
    <w:rsid w:val="001A010B"/>
    <w:rsid w:val="001A0708"/>
    <w:rsid w:val="001A1128"/>
    <w:rsid w:val="001A1B4E"/>
    <w:rsid w:val="001A1E09"/>
    <w:rsid w:val="001A2BF9"/>
    <w:rsid w:val="001A39CB"/>
    <w:rsid w:val="001A3BBF"/>
    <w:rsid w:val="001A452F"/>
    <w:rsid w:val="001A53DE"/>
    <w:rsid w:val="001A5B60"/>
    <w:rsid w:val="001A5F61"/>
    <w:rsid w:val="001A65AE"/>
    <w:rsid w:val="001A73FC"/>
    <w:rsid w:val="001B0B8A"/>
    <w:rsid w:val="001B159B"/>
    <w:rsid w:val="001B1620"/>
    <w:rsid w:val="001B18A7"/>
    <w:rsid w:val="001B1B3A"/>
    <w:rsid w:val="001B1EC7"/>
    <w:rsid w:val="001B1F0E"/>
    <w:rsid w:val="001B27CF"/>
    <w:rsid w:val="001B2E20"/>
    <w:rsid w:val="001B3634"/>
    <w:rsid w:val="001B36F8"/>
    <w:rsid w:val="001B7051"/>
    <w:rsid w:val="001B71F9"/>
    <w:rsid w:val="001B7AF9"/>
    <w:rsid w:val="001C099B"/>
    <w:rsid w:val="001C12D5"/>
    <w:rsid w:val="001C1577"/>
    <w:rsid w:val="001C51D2"/>
    <w:rsid w:val="001C578B"/>
    <w:rsid w:val="001C6F21"/>
    <w:rsid w:val="001D0240"/>
    <w:rsid w:val="001D05E9"/>
    <w:rsid w:val="001D0B60"/>
    <w:rsid w:val="001D1019"/>
    <w:rsid w:val="001D119A"/>
    <w:rsid w:val="001D30C1"/>
    <w:rsid w:val="001D3DB8"/>
    <w:rsid w:val="001D4635"/>
    <w:rsid w:val="001D52EB"/>
    <w:rsid w:val="001E008E"/>
    <w:rsid w:val="001E0B5B"/>
    <w:rsid w:val="001E1134"/>
    <w:rsid w:val="001E2158"/>
    <w:rsid w:val="001E3751"/>
    <w:rsid w:val="001E3BA7"/>
    <w:rsid w:val="001E626E"/>
    <w:rsid w:val="001E796D"/>
    <w:rsid w:val="001E7EFE"/>
    <w:rsid w:val="001F0AA4"/>
    <w:rsid w:val="001F0F79"/>
    <w:rsid w:val="001F2694"/>
    <w:rsid w:val="001F57B7"/>
    <w:rsid w:val="001F5AE9"/>
    <w:rsid w:val="001F5D84"/>
    <w:rsid w:val="001F70E2"/>
    <w:rsid w:val="001F7EC8"/>
    <w:rsid w:val="00201FA3"/>
    <w:rsid w:val="00202B5E"/>
    <w:rsid w:val="0020566E"/>
    <w:rsid w:val="00205ABE"/>
    <w:rsid w:val="00205ED3"/>
    <w:rsid w:val="00207DD8"/>
    <w:rsid w:val="00207FB9"/>
    <w:rsid w:val="0021012D"/>
    <w:rsid w:val="00210BBD"/>
    <w:rsid w:val="00210D65"/>
    <w:rsid w:val="0021101B"/>
    <w:rsid w:val="00212CB8"/>
    <w:rsid w:val="002152D5"/>
    <w:rsid w:val="002162F8"/>
    <w:rsid w:val="00216639"/>
    <w:rsid w:val="00216F87"/>
    <w:rsid w:val="00217C09"/>
    <w:rsid w:val="00220AAF"/>
    <w:rsid w:val="002222CC"/>
    <w:rsid w:val="00223C05"/>
    <w:rsid w:val="0022619C"/>
    <w:rsid w:val="002261C8"/>
    <w:rsid w:val="00226DFF"/>
    <w:rsid w:val="00230057"/>
    <w:rsid w:val="00232A53"/>
    <w:rsid w:val="00232FA1"/>
    <w:rsid w:val="002331A3"/>
    <w:rsid w:val="00233DFF"/>
    <w:rsid w:val="0023444A"/>
    <w:rsid w:val="00234B9A"/>
    <w:rsid w:val="00234E07"/>
    <w:rsid w:val="0023506C"/>
    <w:rsid w:val="00236846"/>
    <w:rsid w:val="002407DF"/>
    <w:rsid w:val="00241466"/>
    <w:rsid w:val="002424FF"/>
    <w:rsid w:val="00242ACD"/>
    <w:rsid w:val="00242B6A"/>
    <w:rsid w:val="002445DF"/>
    <w:rsid w:val="00244F6A"/>
    <w:rsid w:val="00244FFA"/>
    <w:rsid w:val="00245257"/>
    <w:rsid w:val="00245AFD"/>
    <w:rsid w:val="00245D5E"/>
    <w:rsid w:val="00245F3F"/>
    <w:rsid w:val="00247081"/>
    <w:rsid w:val="002500D0"/>
    <w:rsid w:val="00250197"/>
    <w:rsid w:val="00252106"/>
    <w:rsid w:val="0025313B"/>
    <w:rsid w:val="00253577"/>
    <w:rsid w:val="00254B59"/>
    <w:rsid w:val="00254F67"/>
    <w:rsid w:val="00255121"/>
    <w:rsid w:val="00255F0A"/>
    <w:rsid w:val="00256BFC"/>
    <w:rsid w:val="00260902"/>
    <w:rsid w:val="00262295"/>
    <w:rsid w:val="0026264B"/>
    <w:rsid w:val="00262FFA"/>
    <w:rsid w:val="0026381F"/>
    <w:rsid w:val="00263DD7"/>
    <w:rsid w:val="00264BDF"/>
    <w:rsid w:val="00270AAD"/>
    <w:rsid w:val="002742EE"/>
    <w:rsid w:val="00274D8B"/>
    <w:rsid w:val="00275989"/>
    <w:rsid w:val="00276556"/>
    <w:rsid w:val="00276E88"/>
    <w:rsid w:val="00277DA5"/>
    <w:rsid w:val="00277DE8"/>
    <w:rsid w:val="002804CE"/>
    <w:rsid w:val="00280A84"/>
    <w:rsid w:val="00280AE7"/>
    <w:rsid w:val="002825F3"/>
    <w:rsid w:val="0028552C"/>
    <w:rsid w:val="00285E74"/>
    <w:rsid w:val="002863A8"/>
    <w:rsid w:val="0028697C"/>
    <w:rsid w:val="00287AD9"/>
    <w:rsid w:val="00287B8D"/>
    <w:rsid w:val="00290CCC"/>
    <w:rsid w:val="00291786"/>
    <w:rsid w:val="00291A65"/>
    <w:rsid w:val="00292507"/>
    <w:rsid w:val="00292A1A"/>
    <w:rsid w:val="00292F3C"/>
    <w:rsid w:val="0029388D"/>
    <w:rsid w:val="00293C76"/>
    <w:rsid w:val="002942C1"/>
    <w:rsid w:val="00294D80"/>
    <w:rsid w:val="00296955"/>
    <w:rsid w:val="002A141C"/>
    <w:rsid w:val="002A1C8B"/>
    <w:rsid w:val="002A30DB"/>
    <w:rsid w:val="002A3F7C"/>
    <w:rsid w:val="002A51AF"/>
    <w:rsid w:val="002B0A60"/>
    <w:rsid w:val="002B0F6D"/>
    <w:rsid w:val="002B13C8"/>
    <w:rsid w:val="002B2028"/>
    <w:rsid w:val="002B2239"/>
    <w:rsid w:val="002B2E5B"/>
    <w:rsid w:val="002B2E77"/>
    <w:rsid w:val="002B302D"/>
    <w:rsid w:val="002B329E"/>
    <w:rsid w:val="002B57F0"/>
    <w:rsid w:val="002C0837"/>
    <w:rsid w:val="002C1AA9"/>
    <w:rsid w:val="002C233E"/>
    <w:rsid w:val="002C343D"/>
    <w:rsid w:val="002C3D2F"/>
    <w:rsid w:val="002C467F"/>
    <w:rsid w:val="002C481C"/>
    <w:rsid w:val="002C4DBD"/>
    <w:rsid w:val="002C693B"/>
    <w:rsid w:val="002D0EEA"/>
    <w:rsid w:val="002D1114"/>
    <w:rsid w:val="002D130B"/>
    <w:rsid w:val="002D20C0"/>
    <w:rsid w:val="002D215F"/>
    <w:rsid w:val="002D2749"/>
    <w:rsid w:val="002D43BB"/>
    <w:rsid w:val="002D43C9"/>
    <w:rsid w:val="002D7182"/>
    <w:rsid w:val="002D79FA"/>
    <w:rsid w:val="002E0ABA"/>
    <w:rsid w:val="002E213A"/>
    <w:rsid w:val="002E27C8"/>
    <w:rsid w:val="002E2C16"/>
    <w:rsid w:val="002E3345"/>
    <w:rsid w:val="002E35D3"/>
    <w:rsid w:val="002E391F"/>
    <w:rsid w:val="002F10FD"/>
    <w:rsid w:val="002F1A2E"/>
    <w:rsid w:val="002F3BE3"/>
    <w:rsid w:val="002F43B2"/>
    <w:rsid w:val="002F7B54"/>
    <w:rsid w:val="00300CD1"/>
    <w:rsid w:val="003075EA"/>
    <w:rsid w:val="00310C18"/>
    <w:rsid w:val="00313BFB"/>
    <w:rsid w:val="00314925"/>
    <w:rsid w:val="00314B41"/>
    <w:rsid w:val="00316C77"/>
    <w:rsid w:val="003175FA"/>
    <w:rsid w:val="003179A5"/>
    <w:rsid w:val="00320A33"/>
    <w:rsid w:val="00320EF9"/>
    <w:rsid w:val="003214D1"/>
    <w:rsid w:val="003216E0"/>
    <w:rsid w:val="00321A89"/>
    <w:rsid w:val="003225F3"/>
    <w:rsid w:val="00323D61"/>
    <w:rsid w:val="00324AFF"/>
    <w:rsid w:val="00325AAE"/>
    <w:rsid w:val="003267A3"/>
    <w:rsid w:val="003268C2"/>
    <w:rsid w:val="00326D6A"/>
    <w:rsid w:val="00331E5B"/>
    <w:rsid w:val="00332B69"/>
    <w:rsid w:val="003333C2"/>
    <w:rsid w:val="00333CDE"/>
    <w:rsid w:val="00333E25"/>
    <w:rsid w:val="00334AA9"/>
    <w:rsid w:val="0033504E"/>
    <w:rsid w:val="003359D4"/>
    <w:rsid w:val="00335CDD"/>
    <w:rsid w:val="003362EB"/>
    <w:rsid w:val="0033638B"/>
    <w:rsid w:val="00336DA5"/>
    <w:rsid w:val="0033704C"/>
    <w:rsid w:val="003404DE"/>
    <w:rsid w:val="00340D26"/>
    <w:rsid w:val="003415ED"/>
    <w:rsid w:val="003435F7"/>
    <w:rsid w:val="00343629"/>
    <w:rsid w:val="003451FF"/>
    <w:rsid w:val="00345317"/>
    <w:rsid w:val="00347892"/>
    <w:rsid w:val="00350008"/>
    <w:rsid w:val="00350D2C"/>
    <w:rsid w:val="003516D7"/>
    <w:rsid w:val="00352816"/>
    <w:rsid w:val="0035424A"/>
    <w:rsid w:val="003543EE"/>
    <w:rsid w:val="00354A62"/>
    <w:rsid w:val="00354F5F"/>
    <w:rsid w:val="00355044"/>
    <w:rsid w:val="00355ABE"/>
    <w:rsid w:val="00356B8B"/>
    <w:rsid w:val="00356D65"/>
    <w:rsid w:val="00356E99"/>
    <w:rsid w:val="0036183A"/>
    <w:rsid w:val="003619D0"/>
    <w:rsid w:val="00362F3B"/>
    <w:rsid w:val="003646A0"/>
    <w:rsid w:val="0036496B"/>
    <w:rsid w:val="00366F81"/>
    <w:rsid w:val="00370D4F"/>
    <w:rsid w:val="00374FC9"/>
    <w:rsid w:val="0037613E"/>
    <w:rsid w:val="00380B18"/>
    <w:rsid w:val="00382105"/>
    <w:rsid w:val="00382C3B"/>
    <w:rsid w:val="0038329C"/>
    <w:rsid w:val="0038341C"/>
    <w:rsid w:val="0038354F"/>
    <w:rsid w:val="00383DDE"/>
    <w:rsid w:val="00386F50"/>
    <w:rsid w:val="00387099"/>
    <w:rsid w:val="003907A8"/>
    <w:rsid w:val="00391566"/>
    <w:rsid w:val="00391D88"/>
    <w:rsid w:val="00392322"/>
    <w:rsid w:val="00392819"/>
    <w:rsid w:val="003964A4"/>
    <w:rsid w:val="003966BA"/>
    <w:rsid w:val="00396D35"/>
    <w:rsid w:val="003A012C"/>
    <w:rsid w:val="003A2884"/>
    <w:rsid w:val="003B0086"/>
    <w:rsid w:val="003B0A9A"/>
    <w:rsid w:val="003B0F05"/>
    <w:rsid w:val="003B1145"/>
    <w:rsid w:val="003B1F3F"/>
    <w:rsid w:val="003B2922"/>
    <w:rsid w:val="003B2AA9"/>
    <w:rsid w:val="003B3682"/>
    <w:rsid w:val="003B4098"/>
    <w:rsid w:val="003B4F2F"/>
    <w:rsid w:val="003B5465"/>
    <w:rsid w:val="003B581A"/>
    <w:rsid w:val="003C0419"/>
    <w:rsid w:val="003C07D7"/>
    <w:rsid w:val="003C0B13"/>
    <w:rsid w:val="003C1A82"/>
    <w:rsid w:val="003C5465"/>
    <w:rsid w:val="003C5BD8"/>
    <w:rsid w:val="003C6977"/>
    <w:rsid w:val="003C7BF5"/>
    <w:rsid w:val="003C7DA0"/>
    <w:rsid w:val="003D03D5"/>
    <w:rsid w:val="003D0550"/>
    <w:rsid w:val="003D0CB1"/>
    <w:rsid w:val="003D11EB"/>
    <w:rsid w:val="003D2DBF"/>
    <w:rsid w:val="003D4A5D"/>
    <w:rsid w:val="003D51EC"/>
    <w:rsid w:val="003D66A5"/>
    <w:rsid w:val="003D78FD"/>
    <w:rsid w:val="003D7FC5"/>
    <w:rsid w:val="003E14C5"/>
    <w:rsid w:val="003E14E1"/>
    <w:rsid w:val="003E4EB7"/>
    <w:rsid w:val="003E5411"/>
    <w:rsid w:val="003E6325"/>
    <w:rsid w:val="003E70DF"/>
    <w:rsid w:val="003F1061"/>
    <w:rsid w:val="003F14E0"/>
    <w:rsid w:val="003F3AE4"/>
    <w:rsid w:val="003F444C"/>
    <w:rsid w:val="003F4A16"/>
    <w:rsid w:val="003F5B8B"/>
    <w:rsid w:val="003F60AF"/>
    <w:rsid w:val="003F6366"/>
    <w:rsid w:val="003F6565"/>
    <w:rsid w:val="00400A2E"/>
    <w:rsid w:val="00403BCF"/>
    <w:rsid w:val="0040494C"/>
    <w:rsid w:val="00404FFC"/>
    <w:rsid w:val="004054D3"/>
    <w:rsid w:val="0040552F"/>
    <w:rsid w:val="00407784"/>
    <w:rsid w:val="00407AA7"/>
    <w:rsid w:val="00410A8D"/>
    <w:rsid w:val="00410EAA"/>
    <w:rsid w:val="004114FE"/>
    <w:rsid w:val="00411D06"/>
    <w:rsid w:val="00412E27"/>
    <w:rsid w:val="00412F02"/>
    <w:rsid w:val="00413FD8"/>
    <w:rsid w:val="0041454F"/>
    <w:rsid w:val="0041506D"/>
    <w:rsid w:val="00415B73"/>
    <w:rsid w:val="00416B8A"/>
    <w:rsid w:val="004177EE"/>
    <w:rsid w:val="00417DEE"/>
    <w:rsid w:val="00421381"/>
    <w:rsid w:val="00421B57"/>
    <w:rsid w:val="00421EF8"/>
    <w:rsid w:val="00423CEA"/>
    <w:rsid w:val="00425C37"/>
    <w:rsid w:val="00426325"/>
    <w:rsid w:val="00426733"/>
    <w:rsid w:val="00426EA5"/>
    <w:rsid w:val="00427989"/>
    <w:rsid w:val="00427E2F"/>
    <w:rsid w:val="0043047E"/>
    <w:rsid w:val="00430B18"/>
    <w:rsid w:val="00430CC5"/>
    <w:rsid w:val="00431380"/>
    <w:rsid w:val="0043146A"/>
    <w:rsid w:val="00434D8F"/>
    <w:rsid w:val="00435813"/>
    <w:rsid w:val="00436176"/>
    <w:rsid w:val="00436185"/>
    <w:rsid w:val="00436E93"/>
    <w:rsid w:val="004401BE"/>
    <w:rsid w:val="00440303"/>
    <w:rsid w:val="0044125E"/>
    <w:rsid w:val="0044213B"/>
    <w:rsid w:val="00443496"/>
    <w:rsid w:val="00443AD7"/>
    <w:rsid w:val="00443F9F"/>
    <w:rsid w:val="0044411D"/>
    <w:rsid w:val="0044530B"/>
    <w:rsid w:val="004456A9"/>
    <w:rsid w:val="00446569"/>
    <w:rsid w:val="004466BF"/>
    <w:rsid w:val="00447294"/>
    <w:rsid w:val="0045103D"/>
    <w:rsid w:val="00451FD8"/>
    <w:rsid w:val="004523F4"/>
    <w:rsid w:val="004566ED"/>
    <w:rsid w:val="00456A24"/>
    <w:rsid w:val="00456BD4"/>
    <w:rsid w:val="00457041"/>
    <w:rsid w:val="00461019"/>
    <w:rsid w:val="0046275D"/>
    <w:rsid w:val="00462BE6"/>
    <w:rsid w:val="00464CA3"/>
    <w:rsid w:val="0046551E"/>
    <w:rsid w:val="00465580"/>
    <w:rsid w:val="00465E7B"/>
    <w:rsid w:val="004705D7"/>
    <w:rsid w:val="00470B8F"/>
    <w:rsid w:val="00476823"/>
    <w:rsid w:val="00476C2A"/>
    <w:rsid w:val="00477208"/>
    <w:rsid w:val="00480C10"/>
    <w:rsid w:val="004828CD"/>
    <w:rsid w:val="00482BA8"/>
    <w:rsid w:val="00483468"/>
    <w:rsid w:val="00483DE7"/>
    <w:rsid w:val="004849EF"/>
    <w:rsid w:val="0048606B"/>
    <w:rsid w:val="00486581"/>
    <w:rsid w:val="00486BCA"/>
    <w:rsid w:val="00486F78"/>
    <w:rsid w:val="0049177D"/>
    <w:rsid w:val="00491CD0"/>
    <w:rsid w:val="0049213F"/>
    <w:rsid w:val="0049278F"/>
    <w:rsid w:val="0049414B"/>
    <w:rsid w:val="00494BD5"/>
    <w:rsid w:val="0049613A"/>
    <w:rsid w:val="004961A1"/>
    <w:rsid w:val="00496D8F"/>
    <w:rsid w:val="00497C69"/>
    <w:rsid w:val="004A0400"/>
    <w:rsid w:val="004A062D"/>
    <w:rsid w:val="004A155B"/>
    <w:rsid w:val="004A28BE"/>
    <w:rsid w:val="004A2F97"/>
    <w:rsid w:val="004A3AAA"/>
    <w:rsid w:val="004A772F"/>
    <w:rsid w:val="004B0810"/>
    <w:rsid w:val="004B2956"/>
    <w:rsid w:val="004B3AF1"/>
    <w:rsid w:val="004B4549"/>
    <w:rsid w:val="004B49AA"/>
    <w:rsid w:val="004B5245"/>
    <w:rsid w:val="004B546B"/>
    <w:rsid w:val="004B5629"/>
    <w:rsid w:val="004C0ECA"/>
    <w:rsid w:val="004C3364"/>
    <w:rsid w:val="004C4776"/>
    <w:rsid w:val="004C4902"/>
    <w:rsid w:val="004C58B1"/>
    <w:rsid w:val="004C5F77"/>
    <w:rsid w:val="004C7CDC"/>
    <w:rsid w:val="004C7EDB"/>
    <w:rsid w:val="004D2913"/>
    <w:rsid w:val="004D3F76"/>
    <w:rsid w:val="004D442C"/>
    <w:rsid w:val="004D5290"/>
    <w:rsid w:val="004D5383"/>
    <w:rsid w:val="004D58A2"/>
    <w:rsid w:val="004D634E"/>
    <w:rsid w:val="004D675A"/>
    <w:rsid w:val="004D6CD6"/>
    <w:rsid w:val="004D70D1"/>
    <w:rsid w:val="004E1B16"/>
    <w:rsid w:val="004E26B2"/>
    <w:rsid w:val="004E29B7"/>
    <w:rsid w:val="004E40C4"/>
    <w:rsid w:val="004E4120"/>
    <w:rsid w:val="004E5012"/>
    <w:rsid w:val="004E597A"/>
    <w:rsid w:val="004E6F59"/>
    <w:rsid w:val="004F0A84"/>
    <w:rsid w:val="004F1DD7"/>
    <w:rsid w:val="004F25FD"/>
    <w:rsid w:val="004F418F"/>
    <w:rsid w:val="004F4756"/>
    <w:rsid w:val="004F493F"/>
    <w:rsid w:val="004F53B6"/>
    <w:rsid w:val="004F6DE5"/>
    <w:rsid w:val="005000AD"/>
    <w:rsid w:val="00500B75"/>
    <w:rsid w:val="005016CD"/>
    <w:rsid w:val="0050355D"/>
    <w:rsid w:val="005035D9"/>
    <w:rsid w:val="005048CD"/>
    <w:rsid w:val="00505979"/>
    <w:rsid w:val="00506171"/>
    <w:rsid w:val="00507E7B"/>
    <w:rsid w:val="0051062E"/>
    <w:rsid w:val="00511945"/>
    <w:rsid w:val="00512212"/>
    <w:rsid w:val="0051448E"/>
    <w:rsid w:val="005167AD"/>
    <w:rsid w:val="00517F9D"/>
    <w:rsid w:val="00520C40"/>
    <w:rsid w:val="00520E7B"/>
    <w:rsid w:val="00520F4B"/>
    <w:rsid w:val="00521237"/>
    <w:rsid w:val="00523692"/>
    <w:rsid w:val="00524FF3"/>
    <w:rsid w:val="0052544B"/>
    <w:rsid w:val="0052585C"/>
    <w:rsid w:val="00527F03"/>
    <w:rsid w:val="00527F8A"/>
    <w:rsid w:val="0053163A"/>
    <w:rsid w:val="005328B5"/>
    <w:rsid w:val="00534905"/>
    <w:rsid w:val="00535BED"/>
    <w:rsid w:val="00537332"/>
    <w:rsid w:val="00540E6C"/>
    <w:rsid w:val="005419EC"/>
    <w:rsid w:val="00543758"/>
    <w:rsid w:val="005446A1"/>
    <w:rsid w:val="005450A1"/>
    <w:rsid w:val="00546633"/>
    <w:rsid w:val="005466F8"/>
    <w:rsid w:val="00546731"/>
    <w:rsid w:val="0054719B"/>
    <w:rsid w:val="00547460"/>
    <w:rsid w:val="005478BD"/>
    <w:rsid w:val="00552A1E"/>
    <w:rsid w:val="005571B6"/>
    <w:rsid w:val="0055738F"/>
    <w:rsid w:val="00557D4B"/>
    <w:rsid w:val="00560F08"/>
    <w:rsid w:val="00561607"/>
    <w:rsid w:val="00562029"/>
    <w:rsid w:val="00562C80"/>
    <w:rsid w:val="00563704"/>
    <w:rsid w:val="00563C40"/>
    <w:rsid w:val="00563FBF"/>
    <w:rsid w:val="0056568B"/>
    <w:rsid w:val="00565DF4"/>
    <w:rsid w:val="0056646A"/>
    <w:rsid w:val="00567889"/>
    <w:rsid w:val="0057199B"/>
    <w:rsid w:val="0057307D"/>
    <w:rsid w:val="0057572F"/>
    <w:rsid w:val="00576110"/>
    <w:rsid w:val="005763D4"/>
    <w:rsid w:val="00576F7A"/>
    <w:rsid w:val="00577C61"/>
    <w:rsid w:val="00580B52"/>
    <w:rsid w:val="005819D8"/>
    <w:rsid w:val="00582CAB"/>
    <w:rsid w:val="00585650"/>
    <w:rsid w:val="00586156"/>
    <w:rsid w:val="00586567"/>
    <w:rsid w:val="005865C0"/>
    <w:rsid w:val="00587DD7"/>
    <w:rsid w:val="00590A37"/>
    <w:rsid w:val="0059205F"/>
    <w:rsid w:val="00592355"/>
    <w:rsid w:val="00592596"/>
    <w:rsid w:val="00593C94"/>
    <w:rsid w:val="005941EE"/>
    <w:rsid w:val="0059466F"/>
    <w:rsid w:val="00595973"/>
    <w:rsid w:val="00597070"/>
    <w:rsid w:val="00597697"/>
    <w:rsid w:val="005A036D"/>
    <w:rsid w:val="005A215E"/>
    <w:rsid w:val="005A312F"/>
    <w:rsid w:val="005A3F3E"/>
    <w:rsid w:val="005A4768"/>
    <w:rsid w:val="005A541F"/>
    <w:rsid w:val="005A5D84"/>
    <w:rsid w:val="005A6DE2"/>
    <w:rsid w:val="005A74CD"/>
    <w:rsid w:val="005A7AA1"/>
    <w:rsid w:val="005B0A3D"/>
    <w:rsid w:val="005B57A9"/>
    <w:rsid w:val="005B6775"/>
    <w:rsid w:val="005B7AE6"/>
    <w:rsid w:val="005C0297"/>
    <w:rsid w:val="005C11E1"/>
    <w:rsid w:val="005C2DE1"/>
    <w:rsid w:val="005C4924"/>
    <w:rsid w:val="005C4C86"/>
    <w:rsid w:val="005C7057"/>
    <w:rsid w:val="005D201C"/>
    <w:rsid w:val="005D3FCC"/>
    <w:rsid w:val="005D5A87"/>
    <w:rsid w:val="005D681F"/>
    <w:rsid w:val="005D6B6E"/>
    <w:rsid w:val="005D776C"/>
    <w:rsid w:val="005D77E0"/>
    <w:rsid w:val="005D7B4E"/>
    <w:rsid w:val="005E0079"/>
    <w:rsid w:val="005E3B3C"/>
    <w:rsid w:val="005E55F7"/>
    <w:rsid w:val="005E6325"/>
    <w:rsid w:val="005F1605"/>
    <w:rsid w:val="005F3A25"/>
    <w:rsid w:val="005F604D"/>
    <w:rsid w:val="00600B37"/>
    <w:rsid w:val="00601F79"/>
    <w:rsid w:val="0060301B"/>
    <w:rsid w:val="006039A2"/>
    <w:rsid w:val="00606978"/>
    <w:rsid w:val="00610521"/>
    <w:rsid w:val="00610DC9"/>
    <w:rsid w:val="006120B7"/>
    <w:rsid w:val="00612769"/>
    <w:rsid w:val="006130D9"/>
    <w:rsid w:val="00614C79"/>
    <w:rsid w:val="00615C45"/>
    <w:rsid w:val="00616B50"/>
    <w:rsid w:val="006172A4"/>
    <w:rsid w:val="006175A2"/>
    <w:rsid w:val="00620296"/>
    <w:rsid w:val="006204D2"/>
    <w:rsid w:val="00620E46"/>
    <w:rsid w:val="00621280"/>
    <w:rsid w:val="00621B09"/>
    <w:rsid w:val="00623263"/>
    <w:rsid w:val="006262AD"/>
    <w:rsid w:val="006278B1"/>
    <w:rsid w:val="006300EC"/>
    <w:rsid w:val="00632162"/>
    <w:rsid w:val="00633EE1"/>
    <w:rsid w:val="00634A07"/>
    <w:rsid w:val="0063536F"/>
    <w:rsid w:val="00635D0F"/>
    <w:rsid w:val="006362AA"/>
    <w:rsid w:val="00636D1E"/>
    <w:rsid w:val="00636DE5"/>
    <w:rsid w:val="00640363"/>
    <w:rsid w:val="00641CBA"/>
    <w:rsid w:val="0064384F"/>
    <w:rsid w:val="00644B01"/>
    <w:rsid w:val="00644C95"/>
    <w:rsid w:val="00645661"/>
    <w:rsid w:val="00646794"/>
    <w:rsid w:val="00646979"/>
    <w:rsid w:val="006479B6"/>
    <w:rsid w:val="00647C72"/>
    <w:rsid w:val="00647D8A"/>
    <w:rsid w:val="00650C54"/>
    <w:rsid w:val="00651767"/>
    <w:rsid w:val="00651E33"/>
    <w:rsid w:val="00652BE2"/>
    <w:rsid w:val="006530FE"/>
    <w:rsid w:val="006617E3"/>
    <w:rsid w:val="00662A01"/>
    <w:rsid w:val="00662BF0"/>
    <w:rsid w:val="00663377"/>
    <w:rsid w:val="006634DF"/>
    <w:rsid w:val="00665061"/>
    <w:rsid w:val="006667EA"/>
    <w:rsid w:val="00667988"/>
    <w:rsid w:val="00667A31"/>
    <w:rsid w:val="00671081"/>
    <w:rsid w:val="006723D9"/>
    <w:rsid w:val="00672CE3"/>
    <w:rsid w:val="006739DF"/>
    <w:rsid w:val="00673FC5"/>
    <w:rsid w:val="00674A20"/>
    <w:rsid w:val="00675282"/>
    <w:rsid w:val="0067682C"/>
    <w:rsid w:val="00676AA4"/>
    <w:rsid w:val="006805FD"/>
    <w:rsid w:val="00680713"/>
    <w:rsid w:val="006807E3"/>
    <w:rsid w:val="00681052"/>
    <w:rsid w:val="0068284D"/>
    <w:rsid w:val="006829D6"/>
    <w:rsid w:val="00682FD4"/>
    <w:rsid w:val="00683301"/>
    <w:rsid w:val="00684346"/>
    <w:rsid w:val="0068481E"/>
    <w:rsid w:val="006878DA"/>
    <w:rsid w:val="0069025C"/>
    <w:rsid w:val="006905AC"/>
    <w:rsid w:val="00691B3F"/>
    <w:rsid w:val="0069423D"/>
    <w:rsid w:val="00694ED0"/>
    <w:rsid w:val="00696BE3"/>
    <w:rsid w:val="00697149"/>
    <w:rsid w:val="006A04FA"/>
    <w:rsid w:val="006A135D"/>
    <w:rsid w:val="006A333D"/>
    <w:rsid w:val="006A5595"/>
    <w:rsid w:val="006A7799"/>
    <w:rsid w:val="006B2436"/>
    <w:rsid w:val="006B30A6"/>
    <w:rsid w:val="006B3A59"/>
    <w:rsid w:val="006C1CA5"/>
    <w:rsid w:val="006C1D96"/>
    <w:rsid w:val="006C58AD"/>
    <w:rsid w:val="006C5C00"/>
    <w:rsid w:val="006C5ED9"/>
    <w:rsid w:val="006C68DE"/>
    <w:rsid w:val="006C712A"/>
    <w:rsid w:val="006D0302"/>
    <w:rsid w:val="006D075E"/>
    <w:rsid w:val="006D3C51"/>
    <w:rsid w:val="006D54DA"/>
    <w:rsid w:val="006E0079"/>
    <w:rsid w:val="006E175E"/>
    <w:rsid w:val="006E192E"/>
    <w:rsid w:val="006E2222"/>
    <w:rsid w:val="006E3309"/>
    <w:rsid w:val="006E3969"/>
    <w:rsid w:val="006E5495"/>
    <w:rsid w:val="006E5B7D"/>
    <w:rsid w:val="006E5E06"/>
    <w:rsid w:val="006E7E2E"/>
    <w:rsid w:val="006F0B78"/>
    <w:rsid w:val="006F24E7"/>
    <w:rsid w:val="006F370C"/>
    <w:rsid w:val="006F407F"/>
    <w:rsid w:val="006F495F"/>
    <w:rsid w:val="00700F48"/>
    <w:rsid w:val="00702EB8"/>
    <w:rsid w:val="00703B1D"/>
    <w:rsid w:val="00703FB8"/>
    <w:rsid w:val="007049A3"/>
    <w:rsid w:val="00706359"/>
    <w:rsid w:val="007077FC"/>
    <w:rsid w:val="00710096"/>
    <w:rsid w:val="0071009A"/>
    <w:rsid w:val="00712955"/>
    <w:rsid w:val="00712994"/>
    <w:rsid w:val="00712BC8"/>
    <w:rsid w:val="007130B5"/>
    <w:rsid w:val="00714281"/>
    <w:rsid w:val="00714F60"/>
    <w:rsid w:val="0071641E"/>
    <w:rsid w:val="007165F3"/>
    <w:rsid w:val="00717AD3"/>
    <w:rsid w:val="00717CCC"/>
    <w:rsid w:val="0072121A"/>
    <w:rsid w:val="007223A0"/>
    <w:rsid w:val="00722924"/>
    <w:rsid w:val="00722FB5"/>
    <w:rsid w:val="00724803"/>
    <w:rsid w:val="00727C3C"/>
    <w:rsid w:val="00730F58"/>
    <w:rsid w:val="00731046"/>
    <w:rsid w:val="00731659"/>
    <w:rsid w:val="00731998"/>
    <w:rsid w:val="00731C13"/>
    <w:rsid w:val="00732F4F"/>
    <w:rsid w:val="007331DA"/>
    <w:rsid w:val="0073427D"/>
    <w:rsid w:val="007366C0"/>
    <w:rsid w:val="00737E91"/>
    <w:rsid w:val="0074325F"/>
    <w:rsid w:val="007434D3"/>
    <w:rsid w:val="007435A6"/>
    <w:rsid w:val="00743D60"/>
    <w:rsid w:val="00743E6C"/>
    <w:rsid w:val="00745B50"/>
    <w:rsid w:val="00745BCD"/>
    <w:rsid w:val="007473E4"/>
    <w:rsid w:val="007523BC"/>
    <w:rsid w:val="0075364E"/>
    <w:rsid w:val="00754914"/>
    <w:rsid w:val="0075556D"/>
    <w:rsid w:val="0075604E"/>
    <w:rsid w:val="00757451"/>
    <w:rsid w:val="007575DD"/>
    <w:rsid w:val="00764301"/>
    <w:rsid w:val="00764B13"/>
    <w:rsid w:val="00764E5A"/>
    <w:rsid w:val="00766AE7"/>
    <w:rsid w:val="007675E4"/>
    <w:rsid w:val="00767D7C"/>
    <w:rsid w:val="00770E8B"/>
    <w:rsid w:val="00771D33"/>
    <w:rsid w:val="00773052"/>
    <w:rsid w:val="00773F4A"/>
    <w:rsid w:val="0077522D"/>
    <w:rsid w:val="00776B36"/>
    <w:rsid w:val="00784DC8"/>
    <w:rsid w:val="007851C8"/>
    <w:rsid w:val="00786392"/>
    <w:rsid w:val="007863B5"/>
    <w:rsid w:val="00787678"/>
    <w:rsid w:val="007910AB"/>
    <w:rsid w:val="0079152D"/>
    <w:rsid w:val="00791E18"/>
    <w:rsid w:val="0079416A"/>
    <w:rsid w:val="00794448"/>
    <w:rsid w:val="0079447F"/>
    <w:rsid w:val="00794C79"/>
    <w:rsid w:val="0079595B"/>
    <w:rsid w:val="007967ED"/>
    <w:rsid w:val="00796D4E"/>
    <w:rsid w:val="00796E96"/>
    <w:rsid w:val="007A1213"/>
    <w:rsid w:val="007A1EB1"/>
    <w:rsid w:val="007A373F"/>
    <w:rsid w:val="007A47FC"/>
    <w:rsid w:val="007A62ED"/>
    <w:rsid w:val="007A68F8"/>
    <w:rsid w:val="007B1CA7"/>
    <w:rsid w:val="007B2370"/>
    <w:rsid w:val="007B28A2"/>
    <w:rsid w:val="007B2C43"/>
    <w:rsid w:val="007B3113"/>
    <w:rsid w:val="007B5D9A"/>
    <w:rsid w:val="007B5F2E"/>
    <w:rsid w:val="007B62B2"/>
    <w:rsid w:val="007C0603"/>
    <w:rsid w:val="007C0C7E"/>
    <w:rsid w:val="007C195F"/>
    <w:rsid w:val="007C1CB5"/>
    <w:rsid w:val="007C23A1"/>
    <w:rsid w:val="007C370A"/>
    <w:rsid w:val="007C3908"/>
    <w:rsid w:val="007C3C77"/>
    <w:rsid w:val="007C3E36"/>
    <w:rsid w:val="007C6C95"/>
    <w:rsid w:val="007D0AD4"/>
    <w:rsid w:val="007D1678"/>
    <w:rsid w:val="007D38E7"/>
    <w:rsid w:val="007D3C0C"/>
    <w:rsid w:val="007D4525"/>
    <w:rsid w:val="007D461B"/>
    <w:rsid w:val="007D47EE"/>
    <w:rsid w:val="007D55F4"/>
    <w:rsid w:val="007D5B76"/>
    <w:rsid w:val="007D69FE"/>
    <w:rsid w:val="007D721B"/>
    <w:rsid w:val="007D7D06"/>
    <w:rsid w:val="007E0D03"/>
    <w:rsid w:val="007E48DD"/>
    <w:rsid w:val="007E5F0B"/>
    <w:rsid w:val="007E6B5F"/>
    <w:rsid w:val="007E7769"/>
    <w:rsid w:val="007F0499"/>
    <w:rsid w:val="007F0DE1"/>
    <w:rsid w:val="007F14CD"/>
    <w:rsid w:val="007F359F"/>
    <w:rsid w:val="007F6421"/>
    <w:rsid w:val="007F6F4C"/>
    <w:rsid w:val="007F72E4"/>
    <w:rsid w:val="00800867"/>
    <w:rsid w:val="00801350"/>
    <w:rsid w:val="0080168D"/>
    <w:rsid w:val="008019C7"/>
    <w:rsid w:val="00801FF0"/>
    <w:rsid w:val="00802BEF"/>
    <w:rsid w:val="00803A06"/>
    <w:rsid w:val="008055C7"/>
    <w:rsid w:val="008059AF"/>
    <w:rsid w:val="0080655B"/>
    <w:rsid w:val="00807350"/>
    <w:rsid w:val="00810180"/>
    <w:rsid w:val="00810DA9"/>
    <w:rsid w:val="008141F2"/>
    <w:rsid w:val="00814286"/>
    <w:rsid w:val="00815596"/>
    <w:rsid w:val="00816939"/>
    <w:rsid w:val="00820856"/>
    <w:rsid w:val="008208F6"/>
    <w:rsid w:val="00820A4A"/>
    <w:rsid w:val="008221BA"/>
    <w:rsid w:val="008228A4"/>
    <w:rsid w:val="008233E0"/>
    <w:rsid w:val="00823F58"/>
    <w:rsid w:val="008260B0"/>
    <w:rsid w:val="00827270"/>
    <w:rsid w:val="0083283A"/>
    <w:rsid w:val="00833C4B"/>
    <w:rsid w:val="0083500B"/>
    <w:rsid w:val="00835C35"/>
    <w:rsid w:val="0083762E"/>
    <w:rsid w:val="00837E5D"/>
    <w:rsid w:val="008404B2"/>
    <w:rsid w:val="008405AD"/>
    <w:rsid w:val="00844936"/>
    <w:rsid w:val="008451D2"/>
    <w:rsid w:val="0084552F"/>
    <w:rsid w:val="008458B4"/>
    <w:rsid w:val="00846B78"/>
    <w:rsid w:val="00847784"/>
    <w:rsid w:val="0085313C"/>
    <w:rsid w:val="008561D5"/>
    <w:rsid w:val="00856C4E"/>
    <w:rsid w:val="00856F4B"/>
    <w:rsid w:val="00857016"/>
    <w:rsid w:val="00857FB6"/>
    <w:rsid w:val="008607ED"/>
    <w:rsid w:val="008608DB"/>
    <w:rsid w:val="0086105A"/>
    <w:rsid w:val="008610A0"/>
    <w:rsid w:val="00861B9F"/>
    <w:rsid w:val="00861F2E"/>
    <w:rsid w:val="00861F6A"/>
    <w:rsid w:val="008624C3"/>
    <w:rsid w:val="0086456C"/>
    <w:rsid w:val="0086481F"/>
    <w:rsid w:val="008649B7"/>
    <w:rsid w:val="0086611A"/>
    <w:rsid w:val="00866797"/>
    <w:rsid w:val="00866ACC"/>
    <w:rsid w:val="00866EF0"/>
    <w:rsid w:val="00866F78"/>
    <w:rsid w:val="00867677"/>
    <w:rsid w:val="008705A9"/>
    <w:rsid w:val="008723AA"/>
    <w:rsid w:val="00872AC5"/>
    <w:rsid w:val="00873CB9"/>
    <w:rsid w:val="00873E39"/>
    <w:rsid w:val="00874392"/>
    <w:rsid w:val="008744D8"/>
    <w:rsid w:val="00875FE8"/>
    <w:rsid w:val="00877F24"/>
    <w:rsid w:val="0088116B"/>
    <w:rsid w:val="008815BE"/>
    <w:rsid w:val="00881A34"/>
    <w:rsid w:val="00883617"/>
    <w:rsid w:val="00883855"/>
    <w:rsid w:val="00883CB0"/>
    <w:rsid w:val="008846CA"/>
    <w:rsid w:val="008846DA"/>
    <w:rsid w:val="00886B32"/>
    <w:rsid w:val="00887EB0"/>
    <w:rsid w:val="0089087B"/>
    <w:rsid w:val="00891275"/>
    <w:rsid w:val="0089184B"/>
    <w:rsid w:val="0089235F"/>
    <w:rsid w:val="00892794"/>
    <w:rsid w:val="00893F41"/>
    <w:rsid w:val="0089416A"/>
    <w:rsid w:val="008946AD"/>
    <w:rsid w:val="00895FDD"/>
    <w:rsid w:val="00896F61"/>
    <w:rsid w:val="008970DC"/>
    <w:rsid w:val="008A2639"/>
    <w:rsid w:val="008A2655"/>
    <w:rsid w:val="008A32CA"/>
    <w:rsid w:val="008A385C"/>
    <w:rsid w:val="008A4251"/>
    <w:rsid w:val="008A43E0"/>
    <w:rsid w:val="008A6C72"/>
    <w:rsid w:val="008A6EFF"/>
    <w:rsid w:val="008B32C2"/>
    <w:rsid w:val="008B3FAF"/>
    <w:rsid w:val="008B46A0"/>
    <w:rsid w:val="008B4BAC"/>
    <w:rsid w:val="008B6A31"/>
    <w:rsid w:val="008B6BEC"/>
    <w:rsid w:val="008B7AAA"/>
    <w:rsid w:val="008B7F3F"/>
    <w:rsid w:val="008C067D"/>
    <w:rsid w:val="008C075D"/>
    <w:rsid w:val="008C221F"/>
    <w:rsid w:val="008C32CE"/>
    <w:rsid w:val="008C5B4C"/>
    <w:rsid w:val="008C622D"/>
    <w:rsid w:val="008C6866"/>
    <w:rsid w:val="008C6B2A"/>
    <w:rsid w:val="008D022D"/>
    <w:rsid w:val="008D4C5B"/>
    <w:rsid w:val="008D4E5E"/>
    <w:rsid w:val="008D531A"/>
    <w:rsid w:val="008D5897"/>
    <w:rsid w:val="008D58EC"/>
    <w:rsid w:val="008D5DC2"/>
    <w:rsid w:val="008D5EC7"/>
    <w:rsid w:val="008D60F7"/>
    <w:rsid w:val="008D66A0"/>
    <w:rsid w:val="008D6C0F"/>
    <w:rsid w:val="008E1B30"/>
    <w:rsid w:val="008E443D"/>
    <w:rsid w:val="008E469A"/>
    <w:rsid w:val="008F192C"/>
    <w:rsid w:val="008F345D"/>
    <w:rsid w:val="008F3E1A"/>
    <w:rsid w:val="008F5C63"/>
    <w:rsid w:val="008F61E0"/>
    <w:rsid w:val="008F7126"/>
    <w:rsid w:val="00900B1E"/>
    <w:rsid w:val="00901E73"/>
    <w:rsid w:val="00902FEA"/>
    <w:rsid w:val="009033B4"/>
    <w:rsid w:val="009033E7"/>
    <w:rsid w:val="00904028"/>
    <w:rsid w:val="00904C91"/>
    <w:rsid w:val="00905BDA"/>
    <w:rsid w:val="009060A5"/>
    <w:rsid w:val="009066AD"/>
    <w:rsid w:val="009105B6"/>
    <w:rsid w:val="00910683"/>
    <w:rsid w:val="009109B9"/>
    <w:rsid w:val="00911E51"/>
    <w:rsid w:val="009128EE"/>
    <w:rsid w:val="009139F5"/>
    <w:rsid w:val="00920E04"/>
    <w:rsid w:val="009227A4"/>
    <w:rsid w:val="009269B7"/>
    <w:rsid w:val="00926B86"/>
    <w:rsid w:val="00930774"/>
    <w:rsid w:val="0093136C"/>
    <w:rsid w:val="00932470"/>
    <w:rsid w:val="009332E2"/>
    <w:rsid w:val="00933BD7"/>
    <w:rsid w:val="00933FE6"/>
    <w:rsid w:val="00935E08"/>
    <w:rsid w:val="009366B1"/>
    <w:rsid w:val="00936A8F"/>
    <w:rsid w:val="00942023"/>
    <w:rsid w:val="009423AD"/>
    <w:rsid w:val="009448F4"/>
    <w:rsid w:val="0094556C"/>
    <w:rsid w:val="009467F5"/>
    <w:rsid w:val="00950820"/>
    <w:rsid w:val="00952795"/>
    <w:rsid w:val="00952B40"/>
    <w:rsid w:val="00953207"/>
    <w:rsid w:val="00956244"/>
    <w:rsid w:val="00963389"/>
    <w:rsid w:val="00963807"/>
    <w:rsid w:val="009643F0"/>
    <w:rsid w:val="0096564F"/>
    <w:rsid w:val="00965EA1"/>
    <w:rsid w:val="00965F9D"/>
    <w:rsid w:val="00966AA7"/>
    <w:rsid w:val="009679FC"/>
    <w:rsid w:val="00967C1F"/>
    <w:rsid w:val="00967E14"/>
    <w:rsid w:val="00971218"/>
    <w:rsid w:val="00972086"/>
    <w:rsid w:val="009721C5"/>
    <w:rsid w:val="009727B8"/>
    <w:rsid w:val="00972BE8"/>
    <w:rsid w:val="00973372"/>
    <w:rsid w:val="009743E1"/>
    <w:rsid w:val="0097452F"/>
    <w:rsid w:val="00975017"/>
    <w:rsid w:val="00975726"/>
    <w:rsid w:val="00983CCC"/>
    <w:rsid w:val="00983EFA"/>
    <w:rsid w:val="00985B02"/>
    <w:rsid w:val="00985DCB"/>
    <w:rsid w:val="00985DED"/>
    <w:rsid w:val="0098747F"/>
    <w:rsid w:val="00990202"/>
    <w:rsid w:val="0099185A"/>
    <w:rsid w:val="00993648"/>
    <w:rsid w:val="0099393C"/>
    <w:rsid w:val="00994B5B"/>
    <w:rsid w:val="00994B9E"/>
    <w:rsid w:val="0099552D"/>
    <w:rsid w:val="0099585F"/>
    <w:rsid w:val="00996693"/>
    <w:rsid w:val="009976B4"/>
    <w:rsid w:val="00997D9B"/>
    <w:rsid w:val="00997F6F"/>
    <w:rsid w:val="009A03ED"/>
    <w:rsid w:val="009A0EE1"/>
    <w:rsid w:val="009A63A0"/>
    <w:rsid w:val="009A6A26"/>
    <w:rsid w:val="009A6C54"/>
    <w:rsid w:val="009A6EF5"/>
    <w:rsid w:val="009A76C9"/>
    <w:rsid w:val="009B0D7B"/>
    <w:rsid w:val="009B35FF"/>
    <w:rsid w:val="009B4B23"/>
    <w:rsid w:val="009B5762"/>
    <w:rsid w:val="009B5D79"/>
    <w:rsid w:val="009B61A7"/>
    <w:rsid w:val="009C18A6"/>
    <w:rsid w:val="009C34C4"/>
    <w:rsid w:val="009C3CC4"/>
    <w:rsid w:val="009C70D8"/>
    <w:rsid w:val="009D1B4F"/>
    <w:rsid w:val="009D25C6"/>
    <w:rsid w:val="009D40E7"/>
    <w:rsid w:val="009D5294"/>
    <w:rsid w:val="009D5707"/>
    <w:rsid w:val="009D5D90"/>
    <w:rsid w:val="009D7471"/>
    <w:rsid w:val="009D7F66"/>
    <w:rsid w:val="009E0DDA"/>
    <w:rsid w:val="009E1156"/>
    <w:rsid w:val="009E27F2"/>
    <w:rsid w:val="009E2C20"/>
    <w:rsid w:val="009E408A"/>
    <w:rsid w:val="009E5744"/>
    <w:rsid w:val="009E5F13"/>
    <w:rsid w:val="009E6BAD"/>
    <w:rsid w:val="009F0072"/>
    <w:rsid w:val="009F011D"/>
    <w:rsid w:val="009F0D04"/>
    <w:rsid w:val="009F297F"/>
    <w:rsid w:val="009F4653"/>
    <w:rsid w:val="009F4C05"/>
    <w:rsid w:val="009F5AB4"/>
    <w:rsid w:val="009F6CA3"/>
    <w:rsid w:val="00A012A0"/>
    <w:rsid w:val="00A01D10"/>
    <w:rsid w:val="00A02592"/>
    <w:rsid w:val="00A0292B"/>
    <w:rsid w:val="00A030C6"/>
    <w:rsid w:val="00A03510"/>
    <w:rsid w:val="00A058EE"/>
    <w:rsid w:val="00A068B8"/>
    <w:rsid w:val="00A06BA2"/>
    <w:rsid w:val="00A06D2F"/>
    <w:rsid w:val="00A06DC4"/>
    <w:rsid w:val="00A10900"/>
    <w:rsid w:val="00A10D34"/>
    <w:rsid w:val="00A110A6"/>
    <w:rsid w:val="00A1126F"/>
    <w:rsid w:val="00A11CFE"/>
    <w:rsid w:val="00A13636"/>
    <w:rsid w:val="00A14C64"/>
    <w:rsid w:val="00A154F0"/>
    <w:rsid w:val="00A15DA0"/>
    <w:rsid w:val="00A168C0"/>
    <w:rsid w:val="00A21735"/>
    <w:rsid w:val="00A230D6"/>
    <w:rsid w:val="00A238B6"/>
    <w:rsid w:val="00A2404E"/>
    <w:rsid w:val="00A251B8"/>
    <w:rsid w:val="00A2785A"/>
    <w:rsid w:val="00A27ADA"/>
    <w:rsid w:val="00A30C68"/>
    <w:rsid w:val="00A31D69"/>
    <w:rsid w:val="00A337DE"/>
    <w:rsid w:val="00A33AC8"/>
    <w:rsid w:val="00A33C97"/>
    <w:rsid w:val="00A35110"/>
    <w:rsid w:val="00A35787"/>
    <w:rsid w:val="00A35A06"/>
    <w:rsid w:val="00A36C52"/>
    <w:rsid w:val="00A40DBD"/>
    <w:rsid w:val="00A40E39"/>
    <w:rsid w:val="00A40E7C"/>
    <w:rsid w:val="00A42540"/>
    <w:rsid w:val="00A42E76"/>
    <w:rsid w:val="00A43260"/>
    <w:rsid w:val="00A43D33"/>
    <w:rsid w:val="00A43D5C"/>
    <w:rsid w:val="00A450A0"/>
    <w:rsid w:val="00A45641"/>
    <w:rsid w:val="00A45914"/>
    <w:rsid w:val="00A462A3"/>
    <w:rsid w:val="00A46F58"/>
    <w:rsid w:val="00A5043D"/>
    <w:rsid w:val="00A539D7"/>
    <w:rsid w:val="00A53AC5"/>
    <w:rsid w:val="00A544C8"/>
    <w:rsid w:val="00A54682"/>
    <w:rsid w:val="00A54EB2"/>
    <w:rsid w:val="00A553CA"/>
    <w:rsid w:val="00A56360"/>
    <w:rsid w:val="00A56C17"/>
    <w:rsid w:val="00A57059"/>
    <w:rsid w:val="00A57084"/>
    <w:rsid w:val="00A61342"/>
    <w:rsid w:val="00A624A4"/>
    <w:rsid w:val="00A63318"/>
    <w:rsid w:val="00A64E9E"/>
    <w:rsid w:val="00A65F7B"/>
    <w:rsid w:val="00A70500"/>
    <w:rsid w:val="00A734DC"/>
    <w:rsid w:val="00A7394B"/>
    <w:rsid w:val="00A74EF2"/>
    <w:rsid w:val="00A76806"/>
    <w:rsid w:val="00A83075"/>
    <w:rsid w:val="00A84064"/>
    <w:rsid w:val="00A8465B"/>
    <w:rsid w:val="00A8469E"/>
    <w:rsid w:val="00A85B89"/>
    <w:rsid w:val="00A86E0F"/>
    <w:rsid w:val="00A878CB"/>
    <w:rsid w:val="00A91281"/>
    <w:rsid w:val="00A91F1E"/>
    <w:rsid w:val="00A92549"/>
    <w:rsid w:val="00A93453"/>
    <w:rsid w:val="00A93AC1"/>
    <w:rsid w:val="00A93FCA"/>
    <w:rsid w:val="00A94F1E"/>
    <w:rsid w:val="00A96A54"/>
    <w:rsid w:val="00A96B53"/>
    <w:rsid w:val="00A96F38"/>
    <w:rsid w:val="00AA0C73"/>
    <w:rsid w:val="00AA231C"/>
    <w:rsid w:val="00AA2382"/>
    <w:rsid w:val="00AA2883"/>
    <w:rsid w:val="00AA43FE"/>
    <w:rsid w:val="00AA6350"/>
    <w:rsid w:val="00AA685A"/>
    <w:rsid w:val="00AA6C26"/>
    <w:rsid w:val="00AA6ECB"/>
    <w:rsid w:val="00AB1F4E"/>
    <w:rsid w:val="00AB2848"/>
    <w:rsid w:val="00AB2BA7"/>
    <w:rsid w:val="00AB30C1"/>
    <w:rsid w:val="00AB3D75"/>
    <w:rsid w:val="00AB425B"/>
    <w:rsid w:val="00AB4D3F"/>
    <w:rsid w:val="00AB4FF5"/>
    <w:rsid w:val="00AB5587"/>
    <w:rsid w:val="00AB5900"/>
    <w:rsid w:val="00AB6135"/>
    <w:rsid w:val="00AB671D"/>
    <w:rsid w:val="00AB6DBE"/>
    <w:rsid w:val="00AC05DF"/>
    <w:rsid w:val="00AC0FBA"/>
    <w:rsid w:val="00AC15EF"/>
    <w:rsid w:val="00AC25E5"/>
    <w:rsid w:val="00AC2E25"/>
    <w:rsid w:val="00AC3214"/>
    <w:rsid w:val="00AC595F"/>
    <w:rsid w:val="00AC6916"/>
    <w:rsid w:val="00AC6A12"/>
    <w:rsid w:val="00AD0869"/>
    <w:rsid w:val="00AD2460"/>
    <w:rsid w:val="00AD3E4D"/>
    <w:rsid w:val="00AD444A"/>
    <w:rsid w:val="00AD44F7"/>
    <w:rsid w:val="00AD45F0"/>
    <w:rsid w:val="00AD5580"/>
    <w:rsid w:val="00AD5DA3"/>
    <w:rsid w:val="00AD6DA7"/>
    <w:rsid w:val="00AD76C2"/>
    <w:rsid w:val="00AD7E74"/>
    <w:rsid w:val="00AD7F52"/>
    <w:rsid w:val="00AE0493"/>
    <w:rsid w:val="00AE187B"/>
    <w:rsid w:val="00AE1CED"/>
    <w:rsid w:val="00AE1E80"/>
    <w:rsid w:val="00AE21A2"/>
    <w:rsid w:val="00AE2972"/>
    <w:rsid w:val="00AE2B6A"/>
    <w:rsid w:val="00AE40F8"/>
    <w:rsid w:val="00AE481C"/>
    <w:rsid w:val="00AE5524"/>
    <w:rsid w:val="00AE6490"/>
    <w:rsid w:val="00AE7C11"/>
    <w:rsid w:val="00AE7EB7"/>
    <w:rsid w:val="00AF25EB"/>
    <w:rsid w:val="00AF47B1"/>
    <w:rsid w:val="00AF4EC0"/>
    <w:rsid w:val="00AF544C"/>
    <w:rsid w:val="00AF5894"/>
    <w:rsid w:val="00AF60B1"/>
    <w:rsid w:val="00AF69B2"/>
    <w:rsid w:val="00AF71CE"/>
    <w:rsid w:val="00B00EDB"/>
    <w:rsid w:val="00B018F3"/>
    <w:rsid w:val="00B0334F"/>
    <w:rsid w:val="00B03DC6"/>
    <w:rsid w:val="00B04F6D"/>
    <w:rsid w:val="00B05CC9"/>
    <w:rsid w:val="00B06C17"/>
    <w:rsid w:val="00B06C22"/>
    <w:rsid w:val="00B06CC4"/>
    <w:rsid w:val="00B06E32"/>
    <w:rsid w:val="00B07575"/>
    <w:rsid w:val="00B10C7C"/>
    <w:rsid w:val="00B11B44"/>
    <w:rsid w:val="00B138B2"/>
    <w:rsid w:val="00B139CA"/>
    <w:rsid w:val="00B13A58"/>
    <w:rsid w:val="00B16A2A"/>
    <w:rsid w:val="00B17212"/>
    <w:rsid w:val="00B17215"/>
    <w:rsid w:val="00B17374"/>
    <w:rsid w:val="00B17547"/>
    <w:rsid w:val="00B175D3"/>
    <w:rsid w:val="00B22CB6"/>
    <w:rsid w:val="00B2332D"/>
    <w:rsid w:val="00B25057"/>
    <w:rsid w:val="00B2520D"/>
    <w:rsid w:val="00B25259"/>
    <w:rsid w:val="00B25FF6"/>
    <w:rsid w:val="00B26724"/>
    <w:rsid w:val="00B27068"/>
    <w:rsid w:val="00B2774E"/>
    <w:rsid w:val="00B302F9"/>
    <w:rsid w:val="00B30BDF"/>
    <w:rsid w:val="00B31902"/>
    <w:rsid w:val="00B31A95"/>
    <w:rsid w:val="00B32506"/>
    <w:rsid w:val="00B33806"/>
    <w:rsid w:val="00B3448C"/>
    <w:rsid w:val="00B365F3"/>
    <w:rsid w:val="00B3676E"/>
    <w:rsid w:val="00B36BC0"/>
    <w:rsid w:val="00B370E0"/>
    <w:rsid w:val="00B40AF8"/>
    <w:rsid w:val="00B40DA9"/>
    <w:rsid w:val="00B411EC"/>
    <w:rsid w:val="00B41C5A"/>
    <w:rsid w:val="00B428A6"/>
    <w:rsid w:val="00B42AB1"/>
    <w:rsid w:val="00B42CF6"/>
    <w:rsid w:val="00B43CDD"/>
    <w:rsid w:val="00B43D38"/>
    <w:rsid w:val="00B43F45"/>
    <w:rsid w:val="00B44059"/>
    <w:rsid w:val="00B447FD"/>
    <w:rsid w:val="00B4627F"/>
    <w:rsid w:val="00B47666"/>
    <w:rsid w:val="00B50E38"/>
    <w:rsid w:val="00B517F2"/>
    <w:rsid w:val="00B52FAC"/>
    <w:rsid w:val="00B533DE"/>
    <w:rsid w:val="00B53730"/>
    <w:rsid w:val="00B5381D"/>
    <w:rsid w:val="00B53D73"/>
    <w:rsid w:val="00B54CD3"/>
    <w:rsid w:val="00B563DD"/>
    <w:rsid w:val="00B57662"/>
    <w:rsid w:val="00B57F95"/>
    <w:rsid w:val="00B6035E"/>
    <w:rsid w:val="00B60449"/>
    <w:rsid w:val="00B625F0"/>
    <w:rsid w:val="00B63F4D"/>
    <w:rsid w:val="00B648A3"/>
    <w:rsid w:val="00B64F64"/>
    <w:rsid w:val="00B66A8B"/>
    <w:rsid w:val="00B67771"/>
    <w:rsid w:val="00B67E56"/>
    <w:rsid w:val="00B71340"/>
    <w:rsid w:val="00B734B4"/>
    <w:rsid w:val="00B73FDF"/>
    <w:rsid w:val="00B74020"/>
    <w:rsid w:val="00B750F5"/>
    <w:rsid w:val="00B75B49"/>
    <w:rsid w:val="00B77B46"/>
    <w:rsid w:val="00B77D28"/>
    <w:rsid w:val="00B77EEE"/>
    <w:rsid w:val="00B8044B"/>
    <w:rsid w:val="00B80622"/>
    <w:rsid w:val="00B825DE"/>
    <w:rsid w:val="00B82E59"/>
    <w:rsid w:val="00B83AA0"/>
    <w:rsid w:val="00B83D02"/>
    <w:rsid w:val="00B84F3B"/>
    <w:rsid w:val="00B85EB0"/>
    <w:rsid w:val="00B86860"/>
    <w:rsid w:val="00B923B5"/>
    <w:rsid w:val="00B94144"/>
    <w:rsid w:val="00B9482C"/>
    <w:rsid w:val="00B96180"/>
    <w:rsid w:val="00B96392"/>
    <w:rsid w:val="00B97D80"/>
    <w:rsid w:val="00BA11DA"/>
    <w:rsid w:val="00BA219C"/>
    <w:rsid w:val="00BA23B0"/>
    <w:rsid w:val="00BA2B73"/>
    <w:rsid w:val="00BA2E5A"/>
    <w:rsid w:val="00BA36E7"/>
    <w:rsid w:val="00BA3BB8"/>
    <w:rsid w:val="00BA6239"/>
    <w:rsid w:val="00BA6970"/>
    <w:rsid w:val="00BA6CA5"/>
    <w:rsid w:val="00BA6CD3"/>
    <w:rsid w:val="00BA7766"/>
    <w:rsid w:val="00BA77E3"/>
    <w:rsid w:val="00BA7921"/>
    <w:rsid w:val="00BB1353"/>
    <w:rsid w:val="00BB3084"/>
    <w:rsid w:val="00BB3434"/>
    <w:rsid w:val="00BB3890"/>
    <w:rsid w:val="00BB3EA7"/>
    <w:rsid w:val="00BB47D9"/>
    <w:rsid w:val="00BB4DA5"/>
    <w:rsid w:val="00BC16F2"/>
    <w:rsid w:val="00BC1C19"/>
    <w:rsid w:val="00BC2C29"/>
    <w:rsid w:val="00BC3A60"/>
    <w:rsid w:val="00BC3C47"/>
    <w:rsid w:val="00BC511C"/>
    <w:rsid w:val="00BC54A0"/>
    <w:rsid w:val="00BC6700"/>
    <w:rsid w:val="00BC7263"/>
    <w:rsid w:val="00BC755D"/>
    <w:rsid w:val="00BD02EE"/>
    <w:rsid w:val="00BD0BB4"/>
    <w:rsid w:val="00BD0E53"/>
    <w:rsid w:val="00BD0F8A"/>
    <w:rsid w:val="00BD1002"/>
    <w:rsid w:val="00BD139F"/>
    <w:rsid w:val="00BD1818"/>
    <w:rsid w:val="00BD2A50"/>
    <w:rsid w:val="00BD375E"/>
    <w:rsid w:val="00BD3C80"/>
    <w:rsid w:val="00BD40F4"/>
    <w:rsid w:val="00BD52C2"/>
    <w:rsid w:val="00BD59FF"/>
    <w:rsid w:val="00BD5AC6"/>
    <w:rsid w:val="00BD7816"/>
    <w:rsid w:val="00BE0D89"/>
    <w:rsid w:val="00BE16A1"/>
    <w:rsid w:val="00BE23F2"/>
    <w:rsid w:val="00BE377D"/>
    <w:rsid w:val="00BE64D5"/>
    <w:rsid w:val="00BE6961"/>
    <w:rsid w:val="00BE7E71"/>
    <w:rsid w:val="00BE7FD2"/>
    <w:rsid w:val="00BF01A3"/>
    <w:rsid w:val="00BF140D"/>
    <w:rsid w:val="00BF152C"/>
    <w:rsid w:val="00BF2097"/>
    <w:rsid w:val="00BF27FB"/>
    <w:rsid w:val="00BF2E98"/>
    <w:rsid w:val="00BF74D8"/>
    <w:rsid w:val="00BF7F9C"/>
    <w:rsid w:val="00C00396"/>
    <w:rsid w:val="00C01122"/>
    <w:rsid w:val="00C01327"/>
    <w:rsid w:val="00C01380"/>
    <w:rsid w:val="00C02AAC"/>
    <w:rsid w:val="00C056B0"/>
    <w:rsid w:val="00C05C78"/>
    <w:rsid w:val="00C065EA"/>
    <w:rsid w:val="00C07234"/>
    <w:rsid w:val="00C11D93"/>
    <w:rsid w:val="00C147C8"/>
    <w:rsid w:val="00C15973"/>
    <w:rsid w:val="00C16755"/>
    <w:rsid w:val="00C16784"/>
    <w:rsid w:val="00C21983"/>
    <w:rsid w:val="00C21EA5"/>
    <w:rsid w:val="00C22187"/>
    <w:rsid w:val="00C239BE"/>
    <w:rsid w:val="00C23CDB"/>
    <w:rsid w:val="00C2405D"/>
    <w:rsid w:val="00C25875"/>
    <w:rsid w:val="00C262A2"/>
    <w:rsid w:val="00C26614"/>
    <w:rsid w:val="00C26B54"/>
    <w:rsid w:val="00C270A6"/>
    <w:rsid w:val="00C30A2F"/>
    <w:rsid w:val="00C321E5"/>
    <w:rsid w:val="00C325BB"/>
    <w:rsid w:val="00C32B82"/>
    <w:rsid w:val="00C36A53"/>
    <w:rsid w:val="00C376E3"/>
    <w:rsid w:val="00C4185B"/>
    <w:rsid w:val="00C422A5"/>
    <w:rsid w:val="00C43A32"/>
    <w:rsid w:val="00C4411B"/>
    <w:rsid w:val="00C45380"/>
    <w:rsid w:val="00C45887"/>
    <w:rsid w:val="00C45FDF"/>
    <w:rsid w:val="00C46DE2"/>
    <w:rsid w:val="00C471A1"/>
    <w:rsid w:val="00C502E8"/>
    <w:rsid w:val="00C51008"/>
    <w:rsid w:val="00C510F3"/>
    <w:rsid w:val="00C51C81"/>
    <w:rsid w:val="00C51EDA"/>
    <w:rsid w:val="00C52440"/>
    <w:rsid w:val="00C55990"/>
    <w:rsid w:val="00C61DB9"/>
    <w:rsid w:val="00C62BD6"/>
    <w:rsid w:val="00C645A5"/>
    <w:rsid w:val="00C65127"/>
    <w:rsid w:val="00C65431"/>
    <w:rsid w:val="00C6554F"/>
    <w:rsid w:val="00C672BE"/>
    <w:rsid w:val="00C67460"/>
    <w:rsid w:val="00C7025C"/>
    <w:rsid w:val="00C7266E"/>
    <w:rsid w:val="00C7381F"/>
    <w:rsid w:val="00C73E39"/>
    <w:rsid w:val="00C742D4"/>
    <w:rsid w:val="00C74923"/>
    <w:rsid w:val="00C74C69"/>
    <w:rsid w:val="00C75552"/>
    <w:rsid w:val="00C76260"/>
    <w:rsid w:val="00C76267"/>
    <w:rsid w:val="00C76404"/>
    <w:rsid w:val="00C776E1"/>
    <w:rsid w:val="00C778FF"/>
    <w:rsid w:val="00C8015E"/>
    <w:rsid w:val="00C8102E"/>
    <w:rsid w:val="00C817DA"/>
    <w:rsid w:val="00C83645"/>
    <w:rsid w:val="00C84CE5"/>
    <w:rsid w:val="00C9050B"/>
    <w:rsid w:val="00C90796"/>
    <w:rsid w:val="00C90CF2"/>
    <w:rsid w:val="00C90D68"/>
    <w:rsid w:val="00C92427"/>
    <w:rsid w:val="00C93619"/>
    <w:rsid w:val="00C940ED"/>
    <w:rsid w:val="00C94B2D"/>
    <w:rsid w:val="00C94E0B"/>
    <w:rsid w:val="00CA1038"/>
    <w:rsid w:val="00CA1217"/>
    <w:rsid w:val="00CA2754"/>
    <w:rsid w:val="00CA3834"/>
    <w:rsid w:val="00CA5BE5"/>
    <w:rsid w:val="00CA63F4"/>
    <w:rsid w:val="00CA6909"/>
    <w:rsid w:val="00CA7D1E"/>
    <w:rsid w:val="00CA7D67"/>
    <w:rsid w:val="00CB0E5A"/>
    <w:rsid w:val="00CB2165"/>
    <w:rsid w:val="00CB2854"/>
    <w:rsid w:val="00CB36DB"/>
    <w:rsid w:val="00CB37F3"/>
    <w:rsid w:val="00CB457E"/>
    <w:rsid w:val="00CB5DBA"/>
    <w:rsid w:val="00CB5E5E"/>
    <w:rsid w:val="00CB6A08"/>
    <w:rsid w:val="00CB704C"/>
    <w:rsid w:val="00CB721A"/>
    <w:rsid w:val="00CC10E9"/>
    <w:rsid w:val="00CC1AFF"/>
    <w:rsid w:val="00CC1D31"/>
    <w:rsid w:val="00CC3B79"/>
    <w:rsid w:val="00CC617F"/>
    <w:rsid w:val="00CD008F"/>
    <w:rsid w:val="00CD0254"/>
    <w:rsid w:val="00CD0500"/>
    <w:rsid w:val="00CD19AF"/>
    <w:rsid w:val="00CD471E"/>
    <w:rsid w:val="00CD5147"/>
    <w:rsid w:val="00CD6583"/>
    <w:rsid w:val="00CE04F7"/>
    <w:rsid w:val="00CE09DC"/>
    <w:rsid w:val="00CE2715"/>
    <w:rsid w:val="00CE47D9"/>
    <w:rsid w:val="00CE4F21"/>
    <w:rsid w:val="00CE5EA5"/>
    <w:rsid w:val="00CE6983"/>
    <w:rsid w:val="00CF08FA"/>
    <w:rsid w:val="00CF159E"/>
    <w:rsid w:val="00CF2354"/>
    <w:rsid w:val="00CF292C"/>
    <w:rsid w:val="00CF4339"/>
    <w:rsid w:val="00CF4911"/>
    <w:rsid w:val="00CF7577"/>
    <w:rsid w:val="00CF7F2E"/>
    <w:rsid w:val="00D000D7"/>
    <w:rsid w:val="00D02D2E"/>
    <w:rsid w:val="00D04278"/>
    <w:rsid w:val="00D04BEA"/>
    <w:rsid w:val="00D04C9C"/>
    <w:rsid w:val="00D05431"/>
    <w:rsid w:val="00D05643"/>
    <w:rsid w:val="00D05C13"/>
    <w:rsid w:val="00D0651D"/>
    <w:rsid w:val="00D06F85"/>
    <w:rsid w:val="00D10724"/>
    <w:rsid w:val="00D10907"/>
    <w:rsid w:val="00D1176C"/>
    <w:rsid w:val="00D11921"/>
    <w:rsid w:val="00D12371"/>
    <w:rsid w:val="00D12BA8"/>
    <w:rsid w:val="00D132FB"/>
    <w:rsid w:val="00D139C2"/>
    <w:rsid w:val="00D1563A"/>
    <w:rsid w:val="00D15BAE"/>
    <w:rsid w:val="00D15E27"/>
    <w:rsid w:val="00D17AB6"/>
    <w:rsid w:val="00D20097"/>
    <w:rsid w:val="00D201DA"/>
    <w:rsid w:val="00D20DA8"/>
    <w:rsid w:val="00D21119"/>
    <w:rsid w:val="00D22420"/>
    <w:rsid w:val="00D22840"/>
    <w:rsid w:val="00D24966"/>
    <w:rsid w:val="00D24C0A"/>
    <w:rsid w:val="00D25728"/>
    <w:rsid w:val="00D26317"/>
    <w:rsid w:val="00D2656E"/>
    <w:rsid w:val="00D27597"/>
    <w:rsid w:val="00D3097D"/>
    <w:rsid w:val="00D30DB4"/>
    <w:rsid w:val="00D31705"/>
    <w:rsid w:val="00D31AEF"/>
    <w:rsid w:val="00D33D3B"/>
    <w:rsid w:val="00D34A66"/>
    <w:rsid w:val="00D37BB9"/>
    <w:rsid w:val="00D40150"/>
    <w:rsid w:val="00D40723"/>
    <w:rsid w:val="00D4085B"/>
    <w:rsid w:val="00D41068"/>
    <w:rsid w:val="00D412CB"/>
    <w:rsid w:val="00D435C2"/>
    <w:rsid w:val="00D43F0A"/>
    <w:rsid w:val="00D44D5C"/>
    <w:rsid w:val="00D4511B"/>
    <w:rsid w:val="00D456FF"/>
    <w:rsid w:val="00D4642E"/>
    <w:rsid w:val="00D47761"/>
    <w:rsid w:val="00D47A1C"/>
    <w:rsid w:val="00D535F5"/>
    <w:rsid w:val="00D54405"/>
    <w:rsid w:val="00D576C5"/>
    <w:rsid w:val="00D57AF3"/>
    <w:rsid w:val="00D57FEC"/>
    <w:rsid w:val="00D6066F"/>
    <w:rsid w:val="00D61215"/>
    <w:rsid w:val="00D61DA9"/>
    <w:rsid w:val="00D622B4"/>
    <w:rsid w:val="00D62A52"/>
    <w:rsid w:val="00D6424A"/>
    <w:rsid w:val="00D652C7"/>
    <w:rsid w:val="00D65537"/>
    <w:rsid w:val="00D66DF3"/>
    <w:rsid w:val="00D6745F"/>
    <w:rsid w:val="00D67BDC"/>
    <w:rsid w:val="00D70180"/>
    <w:rsid w:val="00D701E4"/>
    <w:rsid w:val="00D71D7E"/>
    <w:rsid w:val="00D71F1E"/>
    <w:rsid w:val="00D72130"/>
    <w:rsid w:val="00D7217F"/>
    <w:rsid w:val="00D72F6C"/>
    <w:rsid w:val="00D742F1"/>
    <w:rsid w:val="00D753A0"/>
    <w:rsid w:val="00D76286"/>
    <w:rsid w:val="00D7631B"/>
    <w:rsid w:val="00D77342"/>
    <w:rsid w:val="00D77BB3"/>
    <w:rsid w:val="00D805EA"/>
    <w:rsid w:val="00D81206"/>
    <w:rsid w:val="00D8279C"/>
    <w:rsid w:val="00D82992"/>
    <w:rsid w:val="00D8305F"/>
    <w:rsid w:val="00D84F6C"/>
    <w:rsid w:val="00D90AFC"/>
    <w:rsid w:val="00D92987"/>
    <w:rsid w:val="00D93932"/>
    <w:rsid w:val="00D94395"/>
    <w:rsid w:val="00D949BB"/>
    <w:rsid w:val="00D95A82"/>
    <w:rsid w:val="00D96163"/>
    <w:rsid w:val="00D973F9"/>
    <w:rsid w:val="00DA10C1"/>
    <w:rsid w:val="00DA1B51"/>
    <w:rsid w:val="00DA30F8"/>
    <w:rsid w:val="00DA32B9"/>
    <w:rsid w:val="00DA49AD"/>
    <w:rsid w:val="00DA7607"/>
    <w:rsid w:val="00DB03E1"/>
    <w:rsid w:val="00DB24D4"/>
    <w:rsid w:val="00DB2A6C"/>
    <w:rsid w:val="00DB389E"/>
    <w:rsid w:val="00DB3A0B"/>
    <w:rsid w:val="00DB4E9E"/>
    <w:rsid w:val="00DB6049"/>
    <w:rsid w:val="00DB7678"/>
    <w:rsid w:val="00DB783F"/>
    <w:rsid w:val="00DC0050"/>
    <w:rsid w:val="00DC3B95"/>
    <w:rsid w:val="00DC538D"/>
    <w:rsid w:val="00DC5712"/>
    <w:rsid w:val="00DC6F4D"/>
    <w:rsid w:val="00DD017D"/>
    <w:rsid w:val="00DD1CB1"/>
    <w:rsid w:val="00DD47DD"/>
    <w:rsid w:val="00DD48F6"/>
    <w:rsid w:val="00DD6758"/>
    <w:rsid w:val="00DE082B"/>
    <w:rsid w:val="00DE20C2"/>
    <w:rsid w:val="00DE2440"/>
    <w:rsid w:val="00DE5EF4"/>
    <w:rsid w:val="00DE5FBD"/>
    <w:rsid w:val="00DE779D"/>
    <w:rsid w:val="00DE7D34"/>
    <w:rsid w:val="00DF1C60"/>
    <w:rsid w:val="00DF3116"/>
    <w:rsid w:val="00DF351B"/>
    <w:rsid w:val="00DF3E88"/>
    <w:rsid w:val="00DF429C"/>
    <w:rsid w:val="00DF469B"/>
    <w:rsid w:val="00E026DF"/>
    <w:rsid w:val="00E03FCE"/>
    <w:rsid w:val="00E06106"/>
    <w:rsid w:val="00E066C8"/>
    <w:rsid w:val="00E06B08"/>
    <w:rsid w:val="00E06DDF"/>
    <w:rsid w:val="00E10326"/>
    <w:rsid w:val="00E10C32"/>
    <w:rsid w:val="00E12B89"/>
    <w:rsid w:val="00E14CE3"/>
    <w:rsid w:val="00E15ED1"/>
    <w:rsid w:val="00E16040"/>
    <w:rsid w:val="00E16F31"/>
    <w:rsid w:val="00E17052"/>
    <w:rsid w:val="00E218F7"/>
    <w:rsid w:val="00E227D4"/>
    <w:rsid w:val="00E22C00"/>
    <w:rsid w:val="00E251FD"/>
    <w:rsid w:val="00E25E6B"/>
    <w:rsid w:val="00E26A75"/>
    <w:rsid w:val="00E27035"/>
    <w:rsid w:val="00E30655"/>
    <w:rsid w:val="00E31684"/>
    <w:rsid w:val="00E321D1"/>
    <w:rsid w:val="00E32EE2"/>
    <w:rsid w:val="00E32EE8"/>
    <w:rsid w:val="00E3579C"/>
    <w:rsid w:val="00E357FC"/>
    <w:rsid w:val="00E3665D"/>
    <w:rsid w:val="00E37D8F"/>
    <w:rsid w:val="00E4064F"/>
    <w:rsid w:val="00E4188F"/>
    <w:rsid w:val="00E43AC5"/>
    <w:rsid w:val="00E45528"/>
    <w:rsid w:val="00E45CC4"/>
    <w:rsid w:val="00E4711B"/>
    <w:rsid w:val="00E47266"/>
    <w:rsid w:val="00E5095E"/>
    <w:rsid w:val="00E509F1"/>
    <w:rsid w:val="00E51F7F"/>
    <w:rsid w:val="00E521FE"/>
    <w:rsid w:val="00E5486D"/>
    <w:rsid w:val="00E554CD"/>
    <w:rsid w:val="00E55507"/>
    <w:rsid w:val="00E55791"/>
    <w:rsid w:val="00E571C2"/>
    <w:rsid w:val="00E573C2"/>
    <w:rsid w:val="00E57952"/>
    <w:rsid w:val="00E57BD8"/>
    <w:rsid w:val="00E57E07"/>
    <w:rsid w:val="00E605EA"/>
    <w:rsid w:val="00E64FFE"/>
    <w:rsid w:val="00E656B7"/>
    <w:rsid w:val="00E669B2"/>
    <w:rsid w:val="00E66CF0"/>
    <w:rsid w:val="00E670D8"/>
    <w:rsid w:val="00E67472"/>
    <w:rsid w:val="00E70722"/>
    <w:rsid w:val="00E709BE"/>
    <w:rsid w:val="00E7126A"/>
    <w:rsid w:val="00E71D30"/>
    <w:rsid w:val="00E720E6"/>
    <w:rsid w:val="00E73DAB"/>
    <w:rsid w:val="00E74900"/>
    <w:rsid w:val="00E7492F"/>
    <w:rsid w:val="00E74BCC"/>
    <w:rsid w:val="00E74C4E"/>
    <w:rsid w:val="00E76943"/>
    <w:rsid w:val="00E778EC"/>
    <w:rsid w:val="00E80C8F"/>
    <w:rsid w:val="00E81739"/>
    <w:rsid w:val="00E82693"/>
    <w:rsid w:val="00E82788"/>
    <w:rsid w:val="00E836D1"/>
    <w:rsid w:val="00E83902"/>
    <w:rsid w:val="00E83A35"/>
    <w:rsid w:val="00E8508B"/>
    <w:rsid w:val="00E85198"/>
    <w:rsid w:val="00E85E8C"/>
    <w:rsid w:val="00E900A2"/>
    <w:rsid w:val="00E91BBA"/>
    <w:rsid w:val="00E91C1D"/>
    <w:rsid w:val="00E92211"/>
    <w:rsid w:val="00E93BA7"/>
    <w:rsid w:val="00E958B0"/>
    <w:rsid w:val="00E958E3"/>
    <w:rsid w:val="00E9595B"/>
    <w:rsid w:val="00E969FB"/>
    <w:rsid w:val="00EA2860"/>
    <w:rsid w:val="00EA2B99"/>
    <w:rsid w:val="00EA2CBA"/>
    <w:rsid w:val="00EA42EF"/>
    <w:rsid w:val="00EA5168"/>
    <w:rsid w:val="00EA5FB2"/>
    <w:rsid w:val="00EA74C5"/>
    <w:rsid w:val="00EB1B0A"/>
    <w:rsid w:val="00EB2BA7"/>
    <w:rsid w:val="00EB61C6"/>
    <w:rsid w:val="00EB6BE7"/>
    <w:rsid w:val="00EC07FE"/>
    <w:rsid w:val="00EC2CE5"/>
    <w:rsid w:val="00EC678B"/>
    <w:rsid w:val="00EC720F"/>
    <w:rsid w:val="00ED0858"/>
    <w:rsid w:val="00ED0C11"/>
    <w:rsid w:val="00ED1A12"/>
    <w:rsid w:val="00ED1C39"/>
    <w:rsid w:val="00ED217F"/>
    <w:rsid w:val="00ED2485"/>
    <w:rsid w:val="00ED26D7"/>
    <w:rsid w:val="00ED316F"/>
    <w:rsid w:val="00ED39D5"/>
    <w:rsid w:val="00ED65AF"/>
    <w:rsid w:val="00ED6A14"/>
    <w:rsid w:val="00ED773E"/>
    <w:rsid w:val="00ED7795"/>
    <w:rsid w:val="00EE0EF2"/>
    <w:rsid w:val="00EE2EA2"/>
    <w:rsid w:val="00EE31F3"/>
    <w:rsid w:val="00EE345B"/>
    <w:rsid w:val="00EE667A"/>
    <w:rsid w:val="00EE678C"/>
    <w:rsid w:val="00EF0798"/>
    <w:rsid w:val="00EF10F7"/>
    <w:rsid w:val="00EF15B3"/>
    <w:rsid w:val="00EF1B37"/>
    <w:rsid w:val="00EF38BF"/>
    <w:rsid w:val="00EF414D"/>
    <w:rsid w:val="00EF4C3F"/>
    <w:rsid w:val="00EF698E"/>
    <w:rsid w:val="00EF786E"/>
    <w:rsid w:val="00F0072B"/>
    <w:rsid w:val="00F00AF5"/>
    <w:rsid w:val="00F00BC4"/>
    <w:rsid w:val="00F0101C"/>
    <w:rsid w:val="00F0175D"/>
    <w:rsid w:val="00F037D8"/>
    <w:rsid w:val="00F0385A"/>
    <w:rsid w:val="00F038E8"/>
    <w:rsid w:val="00F03D87"/>
    <w:rsid w:val="00F059A3"/>
    <w:rsid w:val="00F06F0F"/>
    <w:rsid w:val="00F10E99"/>
    <w:rsid w:val="00F1193F"/>
    <w:rsid w:val="00F1324F"/>
    <w:rsid w:val="00F16C8B"/>
    <w:rsid w:val="00F175EB"/>
    <w:rsid w:val="00F17F3E"/>
    <w:rsid w:val="00F20D8B"/>
    <w:rsid w:val="00F21A37"/>
    <w:rsid w:val="00F22702"/>
    <w:rsid w:val="00F2289D"/>
    <w:rsid w:val="00F22B1C"/>
    <w:rsid w:val="00F2384C"/>
    <w:rsid w:val="00F244D7"/>
    <w:rsid w:val="00F24D72"/>
    <w:rsid w:val="00F30092"/>
    <w:rsid w:val="00F30100"/>
    <w:rsid w:val="00F30E36"/>
    <w:rsid w:val="00F31DAF"/>
    <w:rsid w:val="00F321D7"/>
    <w:rsid w:val="00F332C2"/>
    <w:rsid w:val="00F33CD0"/>
    <w:rsid w:val="00F34287"/>
    <w:rsid w:val="00F34C96"/>
    <w:rsid w:val="00F34ECE"/>
    <w:rsid w:val="00F36DAE"/>
    <w:rsid w:val="00F37DA0"/>
    <w:rsid w:val="00F42E95"/>
    <w:rsid w:val="00F43612"/>
    <w:rsid w:val="00F43988"/>
    <w:rsid w:val="00F43A6B"/>
    <w:rsid w:val="00F450FF"/>
    <w:rsid w:val="00F45B82"/>
    <w:rsid w:val="00F45DBB"/>
    <w:rsid w:val="00F460EB"/>
    <w:rsid w:val="00F46141"/>
    <w:rsid w:val="00F46FDE"/>
    <w:rsid w:val="00F472FC"/>
    <w:rsid w:val="00F47B4F"/>
    <w:rsid w:val="00F47E3B"/>
    <w:rsid w:val="00F5209A"/>
    <w:rsid w:val="00F529A4"/>
    <w:rsid w:val="00F542EA"/>
    <w:rsid w:val="00F546AA"/>
    <w:rsid w:val="00F55F25"/>
    <w:rsid w:val="00F5785D"/>
    <w:rsid w:val="00F629D0"/>
    <w:rsid w:val="00F63651"/>
    <w:rsid w:val="00F637C3"/>
    <w:rsid w:val="00F63972"/>
    <w:rsid w:val="00F64AE2"/>
    <w:rsid w:val="00F65BFF"/>
    <w:rsid w:val="00F67F4B"/>
    <w:rsid w:val="00F7058C"/>
    <w:rsid w:val="00F70698"/>
    <w:rsid w:val="00F70B46"/>
    <w:rsid w:val="00F721C8"/>
    <w:rsid w:val="00F73F1F"/>
    <w:rsid w:val="00F75165"/>
    <w:rsid w:val="00F76225"/>
    <w:rsid w:val="00F77743"/>
    <w:rsid w:val="00F77AE6"/>
    <w:rsid w:val="00F80181"/>
    <w:rsid w:val="00F825AC"/>
    <w:rsid w:val="00F84CB6"/>
    <w:rsid w:val="00F85BD3"/>
    <w:rsid w:val="00F86448"/>
    <w:rsid w:val="00F8682C"/>
    <w:rsid w:val="00F87DCA"/>
    <w:rsid w:val="00F90E18"/>
    <w:rsid w:val="00F90E1B"/>
    <w:rsid w:val="00F92013"/>
    <w:rsid w:val="00F976DC"/>
    <w:rsid w:val="00FA00E1"/>
    <w:rsid w:val="00FA02C7"/>
    <w:rsid w:val="00FA03A5"/>
    <w:rsid w:val="00FA1EE5"/>
    <w:rsid w:val="00FA2448"/>
    <w:rsid w:val="00FA3D40"/>
    <w:rsid w:val="00FA4CAA"/>
    <w:rsid w:val="00FA6C5B"/>
    <w:rsid w:val="00FA73BD"/>
    <w:rsid w:val="00FB02A2"/>
    <w:rsid w:val="00FB1A4D"/>
    <w:rsid w:val="00FB1CA9"/>
    <w:rsid w:val="00FB1E5D"/>
    <w:rsid w:val="00FB2310"/>
    <w:rsid w:val="00FB2E10"/>
    <w:rsid w:val="00FB386A"/>
    <w:rsid w:val="00FB39A5"/>
    <w:rsid w:val="00FB4DA7"/>
    <w:rsid w:val="00FB5B90"/>
    <w:rsid w:val="00FB7067"/>
    <w:rsid w:val="00FB7C76"/>
    <w:rsid w:val="00FC10F4"/>
    <w:rsid w:val="00FC1917"/>
    <w:rsid w:val="00FC19CB"/>
    <w:rsid w:val="00FC2D0C"/>
    <w:rsid w:val="00FC3BA9"/>
    <w:rsid w:val="00FC509B"/>
    <w:rsid w:val="00FC51F1"/>
    <w:rsid w:val="00FC6E28"/>
    <w:rsid w:val="00FC70A9"/>
    <w:rsid w:val="00FC7D37"/>
    <w:rsid w:val="00FD247D"/>
    <w:rsid w:val="00FD3952"/>
    <w:rsid w:val="00FD4AD2"/>
    <w:rsid w:val="00FD5522"/>
    <w:rsid w:val="00FD7B85"/>
    <w:rsid w:val="00FE1083"/>
    <w:rsid w:val="00FE241A"/>
    <w:rsid w:val="00FE38D1"/>
    <w:rsid w:val="00FE3DBA"/>
    <w:rsid w:val="00FE5EFA"/>
    <w:rsid w:val="00FF063F"/>
    <w:rsid w:val="00FF133F"/>
    <w:rsid w:val="00FF1A30"/>
    <w:rsid w:val="00FF2302"/>
    <w:rsid w:val="00FF2EA9"/>
    <w:rsid w:val="00FF3C1E"/>
    <w:rsid w:val="00FF4CF3"/>
    <w:rsid w:val="00FF51D2"/>
    <w:rsid w:val="00FF59C6"/>
    <w:rsid w:val="00FF6AEB"/>
    <w:rsid w:val="00FF6B7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D5619296-B286-4D4D-B490-9F49A0453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C3E36"/>
    <w:rPr>
      <w:rFonts w:ascii="Times New Roman" w:eastAsia="Times New Roman" w:hAnsi="Times New Roman"/>
      <w:sz w:val="24"/>
      <w:szCs w:val="24"/>
      <w:lang w:val="de-DE" w:eastAsia="de-DE"/>
    </w:rPr>
  </w:style>
  <w:style w:type="paragraph" w:styleId="berschrift1">
    <w:name w:val="heading 1"/>
    <w:next w:val="Standard"/>
    <w:link w:val="berschrift1Zchn"/>
    <w:uiPriority w:val="9"/>
    <w:qFormat/>
    <w:rsid w:val="006202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berschrift2">
    <w:name w:val="heading 2"/>
    <w:basedOn w:val="Standard"/>
    <w:next w:val="Standard"/>
    <w:link w:val="berschrift2Zchn"/>
    <w:uiPriority w:val="9"/>
    <w:unhideWhenUsed/>
    <w:qFormat/>
    <w:rsid w:val="00BD0F8A"/>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berschrift3">
    <w:name w:val="heading 3"/>
    <w:basedOn w:val="Standard"/>
    <w:next w:val="Standard"/>
    <w:link w:val="berschrift3Zchn"/>
    <w:unhideWhenUsed/>
    <w:qFormat/>
    <w:rsid w:val="00AB425B"/>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1F3763" w:themeColor="accent1" w:themeShade="7F"/>
      <w:lang w:val="en-GB"/>
    </w:rPr>
  </w:style>
  <w:style w:type="paragraph" w:styleId="berschrift4">
    <w:name w:val="heading 4"/>
    <w:basedOn w:val="Standard"/>
    <w:next w:val="Standard"/>
    <w:link w:val="berschrift4Zchn"/>
    <w:uiPriority w:val="9"/>
    <w:unhideWhenUsed/>
    <w:qFormat/>
    <w:rsid w:val="008208F6"/>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paragraph" w:styleId="berschrift5">
    <w:name w:val="heading 5"/>
    <w:basedOn w:val="Standard"/>
    <w:next w:val="Standard"/>
    <w:link w:val="berschrift5Zchn"/>
    <w:uiPriority w:val="9"/>
    <w:unhideWhenUsed/>
    <w:qFormat/>
    <w:rsid w:val="00E7492F"/>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h"/>
    <w:link w:val="KopfzeileZchn"/>
    <w:rsid w:val="00620296"/>
    <w:pPr>
      <w:widowControl w:val="0"/>
      <w:overflowPunct w:val="0"/>
      <w:autoSpaceDE w:val="0"/>
      <w:autoSpaceDN w:val="0"/>
      <w:adjustRightInd w:val="0"/>
      <w:textAlignment w:val="baseline"/>
    </w:pPr>
    <w:rPr>
      <w:rFonts w:ascii="Arial" w:hAnsi="Arial"/>
      <w:b/>
      <w:noProof/>
      <w:sz w:val="18"/>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rsid w:val="00620296"/>
    <w:rPr>
      <w:rFonts w:ascii="Arial" w:eastAsia="SimSun" w:hAnsi="Arial" w:cs="Times New Roman"/>
      <w:b/>
      <w:noProof/>
      <w:sz w:val="18"/>
      <w:szCs w:val="20"/>
    </w:rPr>
  </w:style>
  <w:style w:type="paragraph" w:styleId="Fuzeile">
    <w:name w:val="footer"/>
    <w:basedOn w:val="Kopfzeile"/>
    <w:link w:val="FuzeileZchn"/>
    <w:rsid w:val="00620296"/>
    <w:pPr>
      <w:jc w:val="center"/>
    </w:pPr>
    <w:rPr>
      <w:i/>
    </w:rPr>
  </w:style>
  <w:style w:type="character" w:customStyle="1" w:styleId="FuzeileZchn">
    <w:name w:val="Fußzeile Zchn"/>
    <w:link w:val="Fuzeile"/>
    <w:rsid w:val="00620296"/>
    <w:rPr>
      <w:rFonts w:ascii="Arial" w:eastAsia="SimSun" w:hAnsi="Arial" w:cs="Times New Roman"/>
      <w:b/>
      <w:i/>
      <w:noProof/>
      <w:sz w:val="18"/>
      <w:szCs w:val="20"/>
    </w:rPr>
  </w:style>
  <w:style w:type="character" w:styleId="Seitenzahl">
    <w:name w:val="page number"/>
    <w:basedOn w:val="Absatz-Standardschriftart"/>
    <w:rsid w:val="00620296"/>
  </w:style>
  <w:style w:type="character" w:customStyle="1" w:styleId="berschrift1Zchn">
    <w:name w:val="Überschrift 1 Zchn"/>
    <w:link w:val="berschrift1"/>
    <w:uiPriority w:val="9"/>
    <w:rsid w:val="00620296"/>
    <w:rPr>
      <w:rFonts w:ascii="Arial" w:eastAsia="SimSun" w:hAnsi="Arial" w:cs="Times New Roman"/>
      <w:sz w:val="36"/>
      <w:szCs w:val="20"/>
      <w:lang w:val="en-GB"/>
    </w:rPr>
  </w:style>
  <w:style w:type="paragraph" w:styleId="Listenabsatz">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列表段落11"/>
    <w:basedOn w:val="Standard"/>
    <w:link w:val="ListenabsatzZchn"/>
    <w:uiPriority w:val="34"/>
    <w:qFormat/>
    <w:rsid w:val="00620296"/>
    <w:pPr>
      <w:overflowPunct w:val="0"/>
      <w:autoSpaceDE w:val="0"/>
      <w:autoSpaceDN w:val="0"/>
      <w:adjustRightInd w:val="0"/>
      <w:spacing w:after="180"/>
      <w:ind w:left="720"/>
      <w:contextualSpacing/>
      <w:textAlignment w:val="baseline"/>
    </w:pPr>
    <w:rPr>
      <w:rFonts w:eastAsia="SimSun"/>
      <w:sz w:val="20"/>
      <w:szCs w:val="20"/>
      <w:lang w:val="en-GB"/>
    </w:rPr>
  </w:style>
  <w:style w:type="table" w:styleId="Tabellenraster">
    <w:name w:val="Table Grid"/>
    <w:basedOn w:val="NormaleTabelle"/>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aliases w:val="cap,cap Char,cap1,cap2,cap3,cap4,cap5,cap6,cap7,cap8,cap9,cap10,cap11,cap21,cap31,cap41,cap51,cap61,cap71,cap81,cap91,cap101,cap12,cap22,cap32,cap42,cap52,cap62,cap72,cap82,cap92,cap102,cap13,cap23,cap33,cap43,cap53,cap63,cap73,cap83,cap93"/>
    <w:basedOn w:val="Standard"/>
    <w:next w:val="Standard"/>
    <w:link w:val="BeschriftungZchn"/>
    <w:uiPriority w:val="35"/>
    <w:qFormat/>
    <w:rsid w:val="00620296"/>
    <w:pPr>
      <w:overflowPunct w:val="0"/>
      <w:autoSpaceDE w:val="0"/>
      <w:autoSpaceDN w:val="0"/>
      <w:adjustRightInd w:val="0"/>
      <w:spacing w:before="120" w:after="120"/>
      <w:textAlignment w:val="baseline"/>
    </w:pPr>
    <w:rPr>
      <w:rFonts w:eastAsia="SimSun"/>
      <w:b/>
      <w:bCs/>
      <w:sz w:val="20"/>
      <w:szCs w:val="20"/>
    </w:rPr>
  </w:style>
  <w:style w:type="paragraph" w:customStyle="1" w:styleId="B1">
    <w:name w:val="B1"/>
    <w:basedOn w:val="Liste"/>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BeschriftungZchn">
    <w:name w:val="Beschriftung Zchn"/>
    <w:aliases w:val="cap Zchn,cap Char Zchn,cap1 Zchn,cap2 Zchn,cap3 Zchn,cap4 Zchn,cap5 Zchn,cap6 Zchn,cap7 Zchn,cap8 Zchn,cap9 Zchn,cap10 Zchn,cap11 Zchn,cap21 Zchn,cap31 Zchn,cap41 Zchn,cap51 Zchn,cap61 Zchn,cap71 Zchn,cap81 Zchn,cap91 Zchn,cap101 Zchn"/>
    <w:link w:val="Beschriftung"/>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Standard"/>
    <w:link w:val="TACChar"/>
    <w:rsid w:val="00620296"/>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e">
    <w:name w:val="List"/>
    <w:basedOn w:val="Standard"/>
    <w:uiPriority w:val="99"/>
    <w:semiHidden/>
    <w:unhideWhenUsed/>
    <w:rsid w:val="00620296"/>
    <w:pPr>
      <w:overflowPunct w:val="0"/>
      <w:autoSpaceDE w:val="0"/>
      <w:autoSpaceDN w:val="0"/>
      <w:adjustRightInd w:val="0"/>
      <w:spacing w:after="180"/>
      <w:ind w:left="360" w:hanging="360"/>
      <w:contextualSpacing/>
      <w:textAlignment w:val="baseline"/>
    </w:pPr>
    <w:rPr>
      <w:rFonts w:eastAsia="SimSun"/>
      <w:sz w:val="20"/>
      <w:szCs w:val="20"/>
      <w:lang w:val="en-GB"/>
    </w:rPr>
  </w:style>
  <w:style w:type="paragraph" w:styleId="Sprechblasentext">
    <w:name w:val="Balloon Text"/>
    <w:basedOn w:val="Standard"/>
    <w:link w:val="SprechblasentextZchn"/>
    <w:uiPriority w:val="99"/>
    <w:semiHidden/>
    <w:unhideWhenUsed/>
    <w:rsid w:val="00A238B6"/>
    <w:pPr>
      <w:overflowPunct w:val="0"/>
      <w:autoSpaceDE w:val="0"/>
      <w:autoSpaceDN w:val="0"/>
      <w:adjustRightInd w:val="0"/>
      <w:textAlignment w:val="baseline"/>
    </w:pPr>
    <w:rPr>
      <w:rFonts w:ascii="Segoe UI" w:eastAsia="SimSun" w:hAnsi="Segoe UI" w:cs="Segoe UI"/>
      <w:sz w:val="18"/>
      <w:szCs w:val="18"/>
      <w:lang w:val="en-GB"/>
    </w:rPr>
  </w:style>
  <w:style w:type="character" w:customStyle="1" w:styleId="SprechblasentextZchn">
    <w:name w:val="Sprechblasentext Zchn"/>
    <w:basedOn w:val="Absatz-Standardschriftart"/>
    <w:link w:val="Sprechblasentext"/>
    <w:uiPriority w:val="99"/>
    <w:semiHidden/>
    <w:rsid w:val="00A238B6"/>
    <w:rPr>
      <w:rFonts w:ascii="Segoe UI" w:eastAsia="SimSun" w:hAnsi="Segoe UI" w:cs="Segoe UI"/>
      <w:sz w:val="18"/>
      <w:szCs w:val="18"/>
      <w:lang w:val="en-GB"/>
    </w:rPr>
  </w:style>
  <w:style w:type="character" w:styleId="Platzhaltertext">
    <w:name w:val="Placeholder Text"/>
    <w:basedOn w:val="Absatz-Standardschriftart"/>
    <w:uiPriority w:val="99"/>
    <w:semiHidden/>
    <w:rsid w:val="009F0072"/>
    <w:rPr>
      <w:color w:val="808080"/>
    </w:rPr>
  </w:style>
  <w:style w:type="character" w:styleId="Kommentarzeichen">
    <w:name w:val="annotation reference"/>
    <w:basedOn w:val="Absatz-Standardschriftart"/>
    <w:uiPriority w:val="99"/>
    <w:semiHidden/>
    <w:unhideWhenUsed/>
    <w:rsid w:val="00835C35"/>
    <w:rPr>
      <w:sz w:val="16"/>
      <w:szCs w:val="16"/>
    </w:rPr>
  </w:style>
  <w:style w:type="paragraph" w:styleId="Kommentartext">
    <w:name w:val="annotation text"/>
    <w:basedOn w:val="Standard"/>
    <w:link w:val="KommentartextZchn"/>
    <w:uiPriority w:val="99"/>
    <w:unhideWhenUsed/>
    <w:rsid w:val="00835C35"/>
    <w:pPr>
      <w:overflowPunct w:val="0"/>
      <w:autoSpaceDE w:val="0"/>
      <w:autoSpaceDN w:val="0"/>
      <w:adjustRightInd w:val="0"/>
      <w:spacing w:after="180"/>
      <w:textAlignment w:val="baseline"/>
    </w:pPr>
    <w:rPr>
      <w:rFonts w:eastAsia="SimSun"/>
      <w:sz w:val="20"/>
      <w:szCs w:val="20"/>
      <w:lang w:val="en-GB"/>
    </w:rPr>
  </w:style>
  <w:style w:type="character" w:customStyle="1" w:styleId="KommentartextZchn">
    <w:name w:val="Kommentartext Zchn"/>
    <w:basedOn w:val="Absatz-Standardschriftart"/>
    <w:link w:val="Kommentartext"/>
    <w:uiPriority w:val="99"/>
    <w:rsid w:val="00835C35"/>
    <w:rPr>
      <w:rFonts w:ascii="Times New Roman" w:eastAsia="SimSun" w:hAnsi="Times New Roman"/>
      <w:lang w:val="en-GB"/>
    </w:rPr>
  </w:style>
  <w:style w:type="paragraph" w:styleId="Kommentarthema">
    <w:name w:val="annotation subject"/>
    <w:basedOn w:val="Kommentartext"/>
    <w:next w:val="Kommentartext"/>
    <w:link w:val="KommentarthemaZchn"/>
    <w:uiPriority w:val="99"/>
    <w:semiHidden/>
    <w:unhideWhenUsed/>
    <w:rsid w:val="00835C35"/>
    <w:rPr>
      <w:b/>
      <w:bCs/>
    </w:rPr>
  </w:style>
  <w:style w:type="character" w:customStyle="1" w:styleId="KommentarthemaZchn">
    <w:name w:val="Kommentarthema Zchn"/>
    <w:basedOn w:val="KommentartextZchn"/>
    <w:link w:val="Kommentarthema"/>
    <w:uiPriority w:val="99"/>
    <w:semiHidden/>
    <w:rsid w:val="00835C35"/>
    <w:rPr>
      <w:rFonts w:ascii="Times New Roman" w:eastAsia="SimSun" w:hAnsi="Times New Roman"/>
      <w:b/>
      <w:bCs/>
      <w:lang w:val="en-GB"/>
    </w:rPr>
  </w:style>
  <w:style w:type="character" w:customStyle="1" w:styleId="berschrift3Zchn">
    <w:name w:val="Überschrift 3 Zchn"/>
    <w:basedOn w:val="Absatz-Standardschriftart"/>
    <w:link w:val="berschrift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Standard"/>
    <w:link w:val="THChar"/>
    <w:qFormat/>
    <w:rsid w:val="00AB425B"/>
    <w:pPr>
      <w:keepNext/>
      <w:keepLines/>
      <w:spacing w:before="60" w:after="180"/>
      <w:jc w:val="center"/>
    </w:pPr>
    <w:rPr>
      <w:rFonts w:ascii="Arial" w:eastAsia="Calibri" w:hAnsi="Arial" w:cs="Arial"/>
      <w:b/>
      <w:sz w:val="20"/>
      <w:szCs w:val="20"/>
      <w:lang w:val="en-GB"/>
    </w:rPr>
  </w:style>
  <w:style w:type="character" w:customStyle="1" w:styleId="ListenabsatzZchn">
    <w:name w:val="Listenabsatz Zchn"/>
    <w:aliases w:val="- Bullets Zchn,?? ?? Zchn,????? Zchn,???? Zchn,Lista1 Zchn,목록 단락 Zchn,リスト段落 Zchn,列出段落1 Zchn,中等深浅网格 1 - 着色 21 Zchn,¥ê¥¹¥È¶ÎÂä Zchn,¥¡¡¡¡ì¬º¥¹¥È¶ÎÂä Zchn,ÁÐ³ö¶ÎÂä Zchn,列表段落1 Zchn,—ño’i—Ž Zchn,1st level - Bullet List Paragraph Zchn"/>
    <w:link w:val="Listenabsatz"/>
    <w:uiPriority w:val="34"/>
    <w:qFormat/>
    <w:locked/>
    <w:rsid w:val="00527F03"/>
    <w:rPr>
      <w:rFonts w:ascii="Times New Roman" w:eastAsia="SimSun" w:hAnsi="Times New Roman"/>
      <w:lang w:val="en-GB"/>
    </w:rPr>
  </w:style>
  <w:style w:type="paragraph" w:customStyle="1" w:styleId="B2">
    <w:name w:val="B2"/>
    <w:basedOn w:val="Liste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e2">
    <w:name w:val="List 2"/>
    <w:basedOn w:val="Standard"/>
    <w:uiPriority w:val="99"/>
    <w:semiHidden/>
    <w:unhideWhenUsed/>
    <w:rsid w:val="00F67F4B"/>
    <w:pPr>
      <w:spacing w:after="180"/>
      <w:ind w:left="720" w:hanging="360"/>
      <w:contextualSpacing/>
    </w:pPr>
    <w:rPr>
      <w:sz w:val="20"/>
      <w:szCs w:val="20"/>
      <w:lang w:val="en-GB"/>
    </w:rPr>
  </w:style>
  <w:style w:type="paragraph" w:customStyle="1" w:styleId="CRCoverPage">
    <w:name w:val="CR Cover Page"/>
    <w:rsid w:val="00AD444A"/>
    <w:pPr>
      <w:spacing w:after="120"/>
    </w:pPr>
    <w:rPr>
      <w:rFonts w:ascii="Arial" w:eastAsia="Times New Roman" w:hAnsi="Arial"/>
      <w:lang w:val="en-GB"/>
    </w:rPr>
  </w:style>
  <w:style w:type="character" w:customStyle="1" w:styleId="berschrift4Zchn">
    <w:name w:val="Überschrift 4 Zchn"/>
    <w:basedOn w:val="Absatz-Standardschriftart"/>
    <w:link w:val="berschrift4"/>
    <w:uiPriority w:val="9"/>
    <w:rsid w:val="008208F6"/>
    <w:rPr>
      <w:rFonts w:asciiTheme="majorHAnsi" w:eastAsiaTheme="majorEastAsia" w:hAnsiTheme="majorHAnsi" w:cstheme="majorBidi"/>
      <w:i/>
      <w:iCs/>
      <w:color w:val="2F5496" w:themeColor="accent1" w:themeShade="BF"/>
      <w:lang w:val="en-GB"/>
    </w:rPr>
  </w:style>
  <w:style w:type="paragraph" w:styleId="Aufzhlungszeichen">
    <w:name w:val="List Bullet"/>
    <w:basedOn w:val="Standard"/>
    <w:rsid w:val="001B159B"/>
    <w:pPr>
      <w:widowControl w:val="0"/>
      <w:numPr>
        <w:numId w:val="2"/>
      </w:numPr>
      <w:jc w:val="both"/>
    </w:pPr>
    <w:rPr>
      <w:rFonts w:eastAsia="MS Gothic"/>
      <w:kern w:val="2"/>
      <w:sz w:val="20"/>
      <w:szCs w:val="20"/>
      <w:lang w:eastAsia="ja-JP"/>
    </w:rPr>
  </w:style>
  <w:style w:type="character" w:customStyle="1" w:styleId="berschrift2Zchn">
    <w:name w:val="Überschrift 2 Zchn"/>
    <w:basedOn w:val="Absatz-Standardschriftart"/>
    <w:link w:val="berschrift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paragraph" w:customStyle="1" w:styleId="Style1">
    <w:name w:val="Style1"/>
    <w:basedOn w:val="berschrift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berschrift2Zchn"/>
    <w:link w:val="Style1"/>
    <w:rsid w:val="00874392"/>
    <w:rPr>
      <w:rFonts w:asciiTheme="majorHAnsi" w:eastAsiaTheme="majorEastAsia" w:hAnsiTheme="majorHAnsi" w:cstheme="majorBidi"/>
      <w:color w:val="2F5496" w:themeColor="accent1" w:themeShade="BF"/>
      <w:sz w:val="26"/>
      <w:szCs w:val="26"/>
      <w:lang w:val="en-GB"/>
    </w:rPr>
  </w:style>
  <w:style w:type="table" w:styleId="Gitternetztabelle1hell">
    <w:name w:val="Grid Table 1 Light"/>
    <w:basedOn w:val="NormaleTabelle"/>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itternetztabelle6farbigAkzent3">
    <w:name w:val="Grid Table 6 Colorful Accent 3"/>
    <w:basedOn w:val="NormaleTabelle"/>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entabelle4">
    <w:name w:val="List Table 4"/>
    <w:basedOn w:val="NormaleTabelle"/>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erarbeitung">
    <w:name w:val="Revision"/>
    <w:hidden/>
    <w:uiPriority w:val="99"/>
    <w:semiHidden/>
    <w:rsid w:val="00DF3E88"/>
    <w:rPr>
      <w:rFonts w:ascii="Times New Roman" w:eastAsia="Times New Roman" w:hAnsi="Times New Roman"/>
      <w:lang w:val="en-GB"/>
    </w:rPr>
  </w:style>
  <w:style w:type="paragraph" w:customStyle="1" w:styleId="NO">
    <w:name w:val="NO"/>
    <w:basedOn w:val="Standard"/>
    <w:link w:val="NOZchn"/>
    <w:qFormat/>
    <w:rsid w:val="000369C3"/>
    <w:pPr>
      <w:keepLines/>
      <w:overflowPunct w:val="0"/>
      <w:autoSpaceDE w:val="0"/>
      <w:autoSpaceDN w:val="0"/>
      <w:adjustRightInd w:val="0"/>
      <w:spacing w:after="180"/>
      <w:ind w:left="1135" w:hanging="851"/>
      <w:textAlignment w:val="baseline"/>
    </w:pPr>
    <w:rPr>
      <w:sz w:val="20"/>
      <w:szCs w:val="20"/>
      <w:lang w:val="en-GB" w:eastAsia="zh-TW"/>
    </w:rPr>
  </w:style>
  <w:style w:type="paragraph" w:styleId="Untertitel">
    <w:name w:val="Subtitle"/>
    <w:basedOn w:val="Standard"/>
    <w:next w:val="Standard"/>
    <w:link w:val="UntertitelZchn"/>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lang w:val="en-GB"/>
    </w:rPr>
  </w:style>
  <w:style w:type="character" w:customStyle="1" w:styleId="UntertitelZchn">
    <w:name w:val="Untertitel Zchn"/>
    <w:basedOn w:val="Absatz-Standardschriftart"/>
    <w:link w:val="Untertitel"/>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Textkrper">
    <w:name w:val="Body Text"/>
    <w:aliases w:val="bt,Corps de texte Car,Corps de texte Car1 Car,Corps de texte Car Car Car,Corps de texte Car1 Car Car Car,Corps de texte Car Car Car Car Car,Corps de texte Car1 Car Car Car Car Car,Corps de texte Car Car Car Car Car Car Car,bt Car"/>
    <w:basedOn w:val="Standard"/>
    <w:link w:val="TextkrperZchn"/>
    <w:qFormat/>
    <w:rsid w:val="00AB5587"/>
    <w:pPr>
      <w:spacing w:after="120"/>
      <w:jc w:val="both"/>
    </w:pPr>
    <w:rPr>
      <w:rFonts w:ascii="Times" w:eastAsia="Batang" w:hAnsi="Times"/>
      <w:sz w:val="20"/>
      <w:lang w:val="en-GB" w:eastAsia="x-none"/>
    </w:rPr>
  </w:style>
  <w:style w:type="character" w:customStyle="1" w:styleId="TextkrperZchn">
    <w:name w:val="Textkörper Zchn"/>
    <w:aliases w:val="bt Zchn,Corps de texte Car Zchn,Corps de texte Car1 Car Zchn,Corps de texte Car Car Car Zchn,Corps de texte Car1 Car Car Car Zchn,Corps de texte Car Car Car Car Car Zchn,Corps de texte Car1 Car Car Car Car Car Zchn,bt Car Zchn"/>
    <w:basedOn w:val="Absatz-Standardschriftart"/>
    <w:link w:val="Textkrper"/>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StandardWeb">
    <w:name w:val="Normal (Web)"/>
    <w:basedOn w:val="Standard"/>
    <w:uiPriority w:val="99"/>
    <w:unhideWhenUsed/>
    <w:qFormat/>
    <w:rsid w:val="009D5707"/>
    <w:pPr>
      <w:spacing w:before="100" w:beforeAutospacing="1" w:after="100" w:afterAutospacing="1"/>
    </w:pPr>
    <w:rPr>
      <w:lang w:eastAsia="zh-CN"/>
    </w:rPr>
  </w:style>
  <w:style w:type="paragraph" w:customStyle="1" w:styleId="TF">
    <w:name w:val="TF"/>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Standard"/>
    <w:link w:val="0MaintextChar"/>
    <w:qFormat/>
    <w:rsid w:val="00421EF8"/>
    <w:pPr>
      <w:spacing w:after="100" w:afterAutospacing="1" w:line="288" w:lineRule="auto"/>
      <w:ind w:firstLine="360"/>
      <w:jc w:val="both"/>
    </w:pPr>
    <w:rPr>
      <w:rFonts w:ascii="Calibri" w:eastAsia="SimSun" w:hAnsi="Calibri" w:cs="Batang"/>
      <w:sz w:val="20"/>
      <w:szCs w:val="20"/>
    </w:rPr>
  </w:style>
  <w:style w:type="paragraph" w:customStyle="1" w:styleId="Prop1">
    <w:name w:val="Prop1"/>
    <w:basedOn w:val="Listenabsatz"/>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KeinLeerraum">
    <w:name w:val="No Spacing"/>
    <w:uiPriority w:val="1"/>
    <w:qFormat/>
    <w:rsid w:val="00BC755D"/>
    <w:pPr>
      <w:ind w:left="720" w:hanging="360"/>
    </w:pPr>
    <w:rPr>
      <w:sz w:val="22"/>
      <w:szCs w:val="22"/>
      <w:lang w:eastAsia="zh-CN"/>
    </w:rPr>
  </w:style>
  <w:style w:type="table" w:styleId="Gitternetztabelle6farbigAkzent1">
    <w:name w:val="Grid Table 6 Colorful Accent 1"/>
    <w:basedOn w:val="NormaleTabelle"/>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itternetztabelle4Akzent1">
    <w:name w:val="Grid Table 4 Accent 1"/>
    <w:basedOn w:val="NormaleTabelle"/>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Absatz-Standardschriftar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nresolvedMention1">
    <w:name w:val="Unresolved Mention1"/>
    <w:basedOn w:val="Absatz-Standardschriftart"/>
    <w:uiPriority w:val="99"/>
    <w:semiHidden/>
    <w:unhideWhenUsed/>
    <w:rsid w:val="00CA6909"/>
    <w:rPr>
      <w:color w:val="605E5C"/>
      <w:shd w:val="clear" w:color="auto" w:fill="E1DFDD"/>
    </w:rPr>
  </w:style>
  <w:style w:type="table" w:styleId="Gitternetztabelle5dunkelAkzent1">
    <w:name w:val="Grid Table 5 Dark Accent 1"/>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itternetztabelle5dunkelAkzent5">
    <w:name w:val="Grid Table 5 Dark Accent 5"/>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5-11">
    <w:name w:val="网格表 5 深色 - 着色 11"/>
    <w:basedOn w:val="NormaleTabelle"/>
    <w:uiPriority w:val="50"/>
    <w:qFormat/>
    <w:rsid w:val="00773F4A"/>
    <w:rPr>
      <w:lang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i-provider">
    <w:name w:val="ui-provider"/>
    <w:basedOn w:val="Absatz-Standardschriftart"/>
    <w:rsid w:val="00223C05"/>
  </w:style>
  <w:style w:type="paragraph" w:customStyle="1" w:styleId="3GPPHeader">
    <w:name w:val="3GPP_Header"/>
    <w:basedOn w:val="Textkrper"/>
    <w:rsid w:val="009C70D8"/>
    <w:pPr>
      <w:tabs>
        <w:tab w:val="left" w:pos="1701"/>
        <w:tab w:val="right" w:pos="9639"/>
      </w:tabs>
      <w:spacing w:after="240" w:line="256" w:lineRule="auto"/>
    </w:pPr>
    <w:rPr>
      <w:rFonts w:ascii="Arial" w:eastAsia="Calibri" w:hAnsi="Arial"/>
      <w:b/>
      <w:sz w:val="24"/>
      <w:szCs w:val="22"/>
      <w:lang w:val="en-US" w:eastAsia="zh-CN"/>
    </w:rPr>
  </w:style>
  <w:style w:type="character" w:customStyle="1" w:styleId="berschrift5Zchn">
    <w:name w:val="Überschrift 5 Zchn"/>
    <w:basedOn w:val="Absatz-Standardschriftart"/>
    <w:link w:val="berschrift5"/>
    <w:uiPriority w:val="9"/>
    <w:rsid w:val="00E7492F"/>
    <w:rPr>
      <w:rFonts w:asciiTheme="majorHAnsi" w:eastAsiaTheme="majorEastAsia" w:hAnsiTheme="majorHAnsi" w:cstheme="majorBidi"/>
      <w:color w:val="2F5496" w:themeColor="accent1" w:themeShade="BF"/>
      <w:sz w:val="24"/>
      <w:szCs w:val="24"/>
      <w:lang w:val="de-DE" w:eastAsia="de-DE"/>
    </w:rPr>
  </w:style>
  <w:style w:type="character" w:customStyle="1" w:styleId="normaltextrun">
    <w:name w:val="normaltextrun"/>
    <w:basedOn w:val="Absatz-Standardschriftart"/>
    <w:rsid w:val="00652B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4897">
      <w:bodyDiv w:val="1"/>
      <w:marLeft w:val="0"/>
      <w:marRight w:val="0"/>
      <w:marTop w:val="0"/>
      <w:marBottom w:val="0"/>
      <w:divBdr>
        <w:top w:val="none" w:sz="0" w:space="0" w:color="auto"/>
        <w:left w:val="none" w:sz="0" w:space="0" w:color="auto"/>
        <w:bottom w:val="none" w:sz="0" w:space="0" w:color="auto"/>
        <w:right w:val="none" w:sz="0" w:space="0" w:color="auto"/>
      </w:divBdr>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5318252">
      <w:bodyDiv w:val="1"/>
      <w:marLeft w:val="0"/>
      <w:marRight w:val="0"/>
      <w:marTop w:val="0"/>
      <w:marBottom w:val="0"/>
      <w:divBdr>
        <w:top w:val="none" w:sz="0" w:space="0" w:color="auto"/>
        <w:left w:val="none" w:sz="0" w:space="0" w:color="auto"/>
        <w:bottom w:val="none" w:sz="0" w:space="0" w:color="auto"/>
        <w:right w:val="none" w:sz="0" w:space="0" w:color="auto"/>
      </w:divBdr>
    </w:div>
    <w:div w:id="82456829">
      <w:bodyDiv w:val="1"/>
      <w:marLeft w:val="0"/>
      <w:marRight w:val="0"/>
      <w:marTop w:val="0"/>
      <w:marBottom w:val="0"/>
      <w:divBdr>
        <w:top w:val="none" w:sz="0" w:space="0" w:color="auto"/>
        <w:left w:val="none" w:sz="0" w:space="0" w:color="auto"/>
        <w:bottom w:val="none" w:sz="0" w:space="0" w:color="auto"/>
        <w:right w:val="none" w:sz="0" w:space="0" w:color="auto"/>
      </w:divBdr>
    </w:div>
    <w:div w:id="83576783">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82135303">
      <w:bodyDiv w:val="1"/>
      <w:marLeft w:val="0"/>
      <w:marRight w:val="0"/>
      <w:marTop w:val="0"/>
      <w:marBottom w:val="0"/>
      <w:divBdr>
        <w:top w:val="none" w:sz="0" w:space="0" w:color="auto"/>
        <w:left w:val="none" w:sz="0" w:space="0" w:color="auto"/>
        <w:bottom w:val="none" w:sz="0" w:space="0" w:color="auto"/>
        <w:right w:val="none" w:sz="0" w:space="0" w:color="auto"/>
      </w:divBdr>
    </w:div>
    <w:div w:id="200677958">
      <w:bodyDiv w:val="1"/>
      <w:marLeft w:val="0"/>
      <w:marRight w:val="0"/>
      <w:marTop w:val="0"/>
      <w:marBottom w:val="0"/>
      <w:divBdr>
        <w:top w:val="none" w:sz="0" w:space="0" w:color="auto"/>
        <w:left w:val="none" w:sz="0" w:space="0" w:color="auto"/>
        <w:bottom w:val="none" w:sz="0" w:space="0" w:color="auto"/>
        <w:right w:val="none" w:sz="0" w:space="0" w:color="auto"/>
      </w:divBdr>
    </w:div>
    <w:div w:id="225265042">
      <w:bodyDiv w:val="1"/>
      <w:marLeft w:val="0"/>
      <w:marRight w:val="0"/>
      <w:marTop w:val="0"/>
      <w:marBottom w:val="0"/>
      <w:divBdr>
        <w:top w:val="none" w:sz="0" w:space="0" w:color="auto"/>
        <w:left w:val="none" w:sz="0" w:space="0" w:color="auto"/>
        <w:bottom w:val="none" w:sz="0" w:space="0" w:color="auto"/>
        <w:right w:val="none" w:sz="0" w:space="0" w:color="auto"/>
      </w:divBdr>
    </w:div>
    <w:div w:id="250432964">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542512">
      <w:bodyDiv w:val="1"/>
      <w:marLeft w:val="0"/>
      <w:marRight w:val="0"/>
      <w:marTop w:val="0"/>
      <w:marBottom w:val="0"/>
      <w:divBdr>
        <w:top w:val="none" w:sz="0" w:space="0" w:color="auto"/>
        <w:left w:val="none" w:sz="0" w:space="0" w:color="auto"/>
        <w:bottom w:val="none" w:sz="0" w:space="0" w:color="auto"/>
        <w:right w:val="none" w:sz="0" w:space="0" w:color="auto"/>
      </w:divBdr>
    </w:div>
    <w:div w:id="326059884">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423261889">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99586529">
      <w:bodyDiv w:val="1"/>
      <w:marLeft w:val="0"/>
      <w:marRight w:val="0"/>
      <w:marTop w:val="0"/>
      <w:marBottom w:val="0"/>
      <w:divBdr>
        <w:top w:val="none" w:sz="0" w:space="0" w:color="auto"/>
        <w:left w:val="none" w:sz="0" w:space="0" w:color="auto"/>
        <w:bottom w:val="none" w:sz="0" w:space="0" w:color="auto"/>
        <w:right w:val="none" w:sz="0" w:space="0" w:color="auto"/>
      </w:divBdr>
      <w:divsChild>
        <w:div w:id="825901689">
          <w:marLeft w:val="0"/>
          <w:marRight w:val="75"/>
          <w:marTop w:val="0"/>
          <w:marBottom w:val="0"/>
          <w:divBdr>
            <w:top w:val="none" w:sz="0" w:space="0" w:color="auto"/>
            <w:left w:val="none" w:sz="0" w:space="0" w:color="auto"/>
            <w:bottom w:val="none" w:sz="0" w:space="0" w:color="auto"/>
            <w:right w:val="none" w:sz="0" w:space="0" w:color="auto"/>
          </w:divBdr>
        </w:div>
      </w:divsChild>
    </w:div>
    <w:div w:id="582691455">
      <w:bodyDiv w:val="1"/>
      <w:marLeft w:val="0"/>
      <w:marRight w:val="0"/>
      <w:marTop w:val="0"/>
      <w:marBottom w:val="0"/>
      <w:divBdr>
        <w:top w:val="none" w:sz="0" w:space="0" w:color="auto"/>
        <w:left w:val="none" w:sz="0" w:space="0" w:color="auto"/>
        <w:bottom w:val="none" w:sz="0" w:space="0" w:color="auto"/>
        <w:right w:val="none" w:sz="0" w:space="0" w:color="auto"/>
      </w:divBdr>
    </w:div>
    <w:div w:id="582837593">
      <w:bodyDiv w:val="1"/>
      <w:marLeft w:val="0"/>
      <w:marRight w:val="0"/>
      <w:marTop w:val="0"/>
      <w:marBottom w:val="0"/>
      <w:divBdr>
        <w:top w:val="none" w:sz="0" w:space="0" w:color="auto"/>
        <w:left w:val="none" w:sz="0" w:space="0" w:color="auto"/>
        <w:bottom w:val="none" w:sz="0" w:space="0" w:color="auto"/>
        <w:right w:val="none" w:sz="0" w:space="0" w:color="auto"/>
      </w:divBdr>
    </w:div>
    <w:div w:id="665321603">
      <w:bodyDiv w:val="1"/>
      <w:marLeft w:val="0"/>
      <w:marRight w:val="0"/>
      <w:marTop w:val="0"/>
      <w:marBottom w:val="0"/>
      <w:divBdr>
        <w:top w:val="none" w:sz="0" w:space="0" w:color="auto"/>
        <w:left w:val="none" w:sz="0" w:space="0" w:color="auto"/>
        <w:bottom w:val="none" w:sz="0" w:space="0" w:color="auto"/>
        <w:right w:val="none" w:sz="0" w:space="0" w:color="auto"/>
      </w:divBdr>
    </w:div>
    <w:div w:id="683634478">
      <w:bodyDiv w:val="1"/>
      <w:marLeft w:val="0"/>
      <w:marRight w:val="0"/>
      <w:marTop w:val="0"/>
      <w:marBottom w:val="0"/>
      <w:divBdr>
        <w:top w:val="none" w:sz="0" w:space="0" w:color="auto"/>
        <w:left w:val="none" w:sz="0" w:space="0" w:color="auto"/>
        <w:bottom w:val="none" w:sz="0" w:space="0" w:color="auto"/>
        <w:right w:val="none" w:sz="0" w:space="0" w:color="auto"/>
      </w:divBdr>
    </w:div>
    <w:div w:id="707724484">
      <w:bodyDiv w:val="1"/>
      <w:marLeft w:val="0"/>
      <w:marRight w:val="0"/>
      <w:marTop w:val="0"/>
      <w:marBottom w:val="0"/>
      <w:divBdr>
        <w:top w:val="none" w:sz="0" w:space="0" w:color="auto"/>
        <w:left w:val="none" w:sz="0" w:space="0" w:color="auto"/>
        <w:bottom w:val="none" w:sz="0" w:space="0" w:color="auto"/>
        <w:right w:val="none" w:sz="0" w:space="0" w:color="auto"/>
      </w:divBdr>
    </w:div>
    <w:div w:id="750810303">
      <w:bodyDiv w:val="1"/>
      <w:marLeft w:val="0"/>
      <w:marRight w:val="0"/>
      <w:marTop w:val="0"/>
      <w:marBottom w:val="0"/>
      <w:divBdr>
        <w:top w:val="none" w:sz="0" w:space="0" w:color="auto"/>
        <w:left w:val="none" w:sz="0" w:space="0" w:color="auto"/>
        <w:bottom w:val="none" w:sz="0" w:space="0" w:color="auto"/>
        <w:right w:val="none" w:sz="0" w:space="0" w:color="auto"/>
      </w:divBdr>
    </w:div>
    <w:div w:id="754202762">
      <w:bodyDiv w:val="1"/>
      <w:marLeft w:val="0"/>
      <w:marRight w:val="0"/>
      <w:marTop w:val="0"/>
      <w:marBottom w:val="0"/>
      <w:divBdr>
        <w:top w:val="none" w:sz="0" w:space="0" w:color="auto"/>
        <w:left w:val="none" w:sz="0" w:space="0" w:color="auto"/>
        <w:bottom w:val="none" w:sz="0" w:space="0" w:color="auto"/>
        <w:right w:val="none" w:sz="0" w:space="0" w:color="auto"/>
      </w:divBdr>
    </w:div>
    <w:div w:id="754322856">
      <w:bodyDiv w:val="1"/>
      <w:marLeft w:val="0"/>
      <w:marRight w:val="0"/>
      <w:marTop w:val="0"/>
      <w:marBottom w:val="0"/>
      <w:divBdr>
        <w:top w:val="none" w:sz="0" w:space="0" w:color="auto"/>
        <w:left w:val="none" w:sz="0" w:space="0" w:color="auto"/>
        <w:bottom w:val="none" w:sz="0" w:space="0" w:color="auto"/>
        <w:right w:val="none" w:sz="0" w:space="0" w:color="auto"/>
      </w:divBdr>
    </w:div>
    <w:div w:id="764763686">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54079153">
      <w:bodyDiv w:val="1"/>
      <w:marLeft w:val="0"/>
      <w:marRight w:val="0"/>
      <w:marTop w:val="0"/>
      <w:marBottom w:val="0"/>
      <w:divBdr>
        <w:top w:val="none" w:sz="0" w:space="0" w:color="auto"/>
        <w:left w:val="none" w:sz="0" w:space="0" w:color="auto"/>
        <w:bottom w:val="none" w:sz="0" w:space="0" w:color="auto"/>
        <w:right w:val="none" w:sz="0" w:space="0" w:color="auto"/>
      </w:divBdr>
    </w:div>
    <w:div w:id="881400507">
      <w:bodyDiv w:val="1"/>
      <w:marLeft w:val="0"/>
      <w:marRight w:val="0"/>
      <w:marTop w:val="0"/>
      <w:marBottom w:val="0"/>
      <w:divBdr>
        <w:top w:val="none" w:sz="0" w:space="0" w:color="auto"/>
        <w:left w:val="none" w:sz="0" w:space="0" w:color="auto"/>
        <w:bottom w:val="none" w:sz="0" w:space="0" w:color="auto"/>
        <w:right w:val="none" w:sz="0" w:space="0" w:color="auto"/>
      </w:divBdr>
    </w:div>
    <w:div w:id="886647614">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83049112">
      <w:bodyDiv w:val="1"/>
      <w:marLeft w:val="0"/>
      <w:marRight w:val="0"/>
      <w:marTop w:val="0"/>
      <w:marBottom w:val="0"/>
      <w:divBdr>
        <w:top w:val="none" w:sz="0" w:space="0" w:color="auto"/>
        <w:left w:val="none" w:sz="0" w:space="0" w:color="auto"/>
        <w:bottom w:val="none" w:sz="0" w:space="0" w:color="auto"/>
        <w:right w:val="none" w:sz="0" w:space="0" w:color="auto"/>
      </w:divBdr>
    </w:div>
    <w:div w:id="1023944542">
      <w:bodyDiv w:val="1"/>
      <w:marLeft w:val="0"/>
      <w:marRight w:val="0"/>
      <w:marTop w:val="0"/>
      <w:marBottom w:val="0"/>
      <w:divBdr>
        <w:top w:val="none" w:sz="0" w:space="0" w:color="auto"/>
        <w:left w:val="none" w:sz="0" w:space="0" w:color="auto"/>
        <w:bottom w:val="none" w:sz="0" w:space="0" w:color="auto"/>
        <w:right w:val="none" w:sz="0" w:space="0" w:color="auto"/>
      </w:divBdr>
    </w:div>
    <w:div w:id="1026247849">
      <w:bodyDiv w:val="1"/>
      <w:marLeft w:val="0"/>
      <w:marRight w:val="0"/>
      <w:marTop w:val="0"/>
      <w:marBottom w:val="0"/>
      <w:divBdr>
        <w:top w:val="none" w:sz="0" w:space="0" w:color="auto"/>
        <w:left w:val="none" w:sz="0" w:space="0" w:color="auto"/>
        <w:bottom w:val="none" w:sz="0" w:space="0" w:color="auto"/>
        <w:right w:val="none" w:sz="0" w:space="0" w:color="auto"/>
      </w:divBdr>
    </w:div>
    <w:div w:id="1070883048">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4449343">
      <w:bodyDiv w:val="1"/>
      <w:marLeft w:val="0"/>
      <w:marRight w:val="0"/>
      <w:marTop w:val="0"/>
      <w:marBottom w:val="0"/>
      <w:divBdr>
        <w:top w:val="none" w:sz="0" w:space="0" w:color="auto"/>
        <w:left w:val="none" w:sz="0" w:space="0" w:color="auto"/>
        <w:bottom w:val="none" w:sz="0" w:space="0" w:color="auto"/>
        <w:right w:val="none" w:sz="0" w:space="0" w:color="auto"/>
      </w:divBdr>
    </w:div>
    <w:div w:id="1152673825">
      <w:bodyDiv w:val="1"/>
      <w:marLeft w:val="0"/>
      <w:marRight w:val="0"/>
      <w:marTop w:val="0"/>
      <w:marBottom w:val="0"/>
      <w:divBdr>
        <w:top w:val="none" w:sz="0" w:space="0" w:color="auto"/>
        <w:left w:val="none" w:sz="0" w:space="0" w:color="auto"/>
        <w:bottom w:val="none" w:sz="0" w:space="0" w:color="auto"/>
        <w:right w:val="none" w:sz="0" w:space="0" w:color="auto"/>
      </w:divBdr>
    </w:div>
    <w:div w:id="1158881899">
      <w:bodyDiv w:val="1"/>
      <w:marLeft w:val="0"/>
      <w:marRight w:val="0"/>
      <w:marTop w:val="0"/>
      <w:marBottom w:val="0"/>
      <w:divBdr>
        <w:top w:val="none" w:sz="0" w:space="0" w:color="auto"/>
        <w:left w:val="none" w:sz="0" w:space="0" w:color="auto"/>
        <w:bottom w:val="none" w:sz="0" w:space="0" w:color="auto"/>
        <w:right w:val="none" w:sz="0" w:space="0" w:color="auto"/>
      </w:divBdr>
    </w:div>
    <w:div w:id="1164396259">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194147042">
      <w:bodyDiv w:val="1"/>
      <w:marLeft w:val="0"/>
      <w:marRight w:val="0"/>
      <w:marTop w:val="0"/>
      <w:marBottom w:val="0"/>
      <w:divBdr>
        <w:top w:val="none" w:sz="0" w:space="0" w:color="auto"/>
        <w:left w:val="none" w:sz="0" w:space="0" w:color="auto"/>
        <w:bottom w:val="none" w:sz="0" w:space="0" w:color="auto"/>
        <w:right w:val="none" w:sz="0" w:space="0" w:color="auto"/>
      </w:divBdr>
    </w:div>
    <w:div w:id="1204637064">
      <w:bodyDiv w:val="1"/>
      <w:marLeft w:val="0"/>
      <w:marRight w:val="0"/>
      <w:marTop w:val="0"/>
      <w:marBottom w:val="0"/>
      <w:divBdr>
        <w:top w:val="none" w:sz="0" w:space="0" w:color="auto"/>
        <w:left w:val="none" w:sz="0" w:space="0" w:color="auto"/>
        <w:bottom w:val="none" w:sz="0" w:space="0" w:color="auto"/>
        <w:right w:val="none" w:sz="0" w:space="0" w:color="auto"/>
      </w:divBdr>
    </w:div>
    <w:div w:id="1284070284">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34067156">
      <w:bodyDiv w:val="1"/>
      <w:marLeft w:val="0"/>
      <w:marRight w:val="0"/>
      <w:marTop w:val="0"/>
      <w:marBottom w:val="0"/>
      <w:divBdr>
        <w:top w:val="none" w:sz="0" w:space="0" w:color="auto"/>
        <w:left w:val="none" w:sz="0" w:space="0" w:color="auto"/>
        <w:bottom w:val="none" w:sz="0" w:space="0" w:color="auto"/>
        <w:right w:val="none" w:sz="0" w:space="0" w:color="auto"/>
      </w:divBdr>
    </w:div>
    <w:div w:id="1346244623">
      <w:bodyDiv w:val="1"/>
      <w:marLeft w:val="0"/>
      <w:marRight w:val="0"/>
      <w:marTop w:val="0"/>
      <w:marBottom w:val="0"/>
      <w:divBdr>
        <w:top w:val="none" w:sz="0" w:space="0" w:color="auto"/>
        <w:left w:val="none" w:sz="0" w:space="0" w:color="auto"/>
        <w:bottom w:val="none" w:sz="0" w:space="0" w:color="auto"/>
        <w:right w:val="none" w:sz="0" w:space="0" w:color="auto"/>
      </w:divBdr>
    </w:div>
    <w:div w:id="1347487107">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71371437">
      <w:bodyDiv w:val="1"/>
      <w:marLeft w:val="0"/>
      <w:marRight w:val="0"/>
      <w:marTop w:val="0"/>
      <w:marBottom w:val="0"/>
      <w:divBdr>
        <w:top w:val="none" w:sz="0" w:space="0" w:color="auto"/>
        <w:left w:val="none" w:sz="0" w:space="0" w:color="auto"/>
        <w:bottom w:val="none" w:sz="0" w:space="0" w:color="auto"/>
        <w:right w:val="none" w:sz="0" w:space="0" w:color="auto"/>
      </w:divBdr>
    </w:div>
    <w:div w:id="1381398232">
      <w:bodyDiv w:val="1"/>
      <w:marLeft w:val="0"/>
      <w:marRight w:val="0"/>
      <w:marTop w:val="0"/>
      <w:marBottom w:val="0"/>
      <w:divBdr>
        <w:top w:val="none" w:sz="0" w:space="0" w:color="auto"/>
        <w:left w:val="none" w:sz="0" w:space="0" w:color="auto"/>
        <w:bottom w:val="none" w:sz="0" w:space="0" w:color="auto"/>
        <w:right w:val="none" w:sz="0" w:space="0" w:color="auto"/>
      </w:divBdr>
    </w:div>
    <w:div w:id="1420828254">
      <w:bodyDiv w:val="1"/>
      <w:marLeft w:val="0"/>
      <w:marRight w:val="0"/>
      <w:marTop w:val="0"/>
      <w:marBottom w:val="0"/>
      <w:divBdr>
        <w:top w:val="none" w:sz="0" w:space="0" w:color="auto"/>
        <w:left w:val="none" w:sz="0" w:space="0" w:color="auto"/>
        <w:bottom w:val="none" w:sz="0" w:space="0" w:color="auto"/>
        <w:right w:val="none" w:sz="0" w:space="0" w:color="auto"/>
      </w:divBdr>
    </w:div>
    <w:div w:id="1445348182">
      <w:bodyDiv w:val="1"/>
      <w:marLeft w:val="0"/>
      <w:marRight w:val="0"/>
      <w:marTop w:val="0"/>
      <w:marBottom w:val="0"/>
      <w:divBdr>
        <w:top w:val="none" w:sz="0" w:space="0" w:color="auto"/>
        <w:left w:val="none" w:sz="0" w:space="0" w:color="auto"/>
        <w:bottom w:val="none" w:sz="0" w:space="0" w:color="auto"/>
        <w:right w:val="none" w:sz="0" w:space="0" w:color="auto"/>
      </w:divBdr>
    </w:div>
    <w:div w:id="1468204027">
      <w:bodyDiv w:val="1"/>
      <w:marLeft w:val="0"/>
      <w:marRight w:val="0"/>
      <w:marTop w:val="0"/>
      <w:marBottom w:val="0"/>
      <w:divBdr>
        <w:top w:val="none" w:sz="0" w:space="0" w:color="auto"/>
        <w:left w:val="none" w:sz="0" w:space="0" w:color="auto"/>
        <w:bottom w:val="none" w:sz="0" w:space="0" w:color="auto"/>
        <w:right w:val="none" w:sz="0" w:space="0" w:color="auto"/>
      </w:divBdr>
    </w:div>
    <w:div w:id="1503930162">
      <w:bodyDiv w:val="1"/>
      <w:marLeft w:val="0"/>
      <w:marRight w:val="0"/>
      <w:marTop w:val="0"/>
      <w:marBottom w:val="0"/>
      <w:divBdr>
        <w:top w:val="none" w:sz="0" w:space="0" w:color="auto"/>
        <w:left w:val="none" w:sz="0" w:space="0" w:color="auto"/>
        <w:bottom w:val="none" w:sz="0" w:space="0" w:color="auto"/>
        <w:right w:val="none" w:sz="0" w:space="0" w:color="auto"/>
      </w:divBdr>
    </w:div>
    <w:div w:id="1514490793">
      <w:bodyDiv w:val="1"/>
      <w:marLeft w:val="0"/>
      <w:marRight w:val="0"/>
      <w:marTop w:val="0"/>
      <w:marBottom w:val="0"/>
      <w:divBdr>
        <w:top w:val="none" w:sz="0" w:space="0" w:color="auto"/>
        <w:left w:val="none" w:sz="0" w:space="0" w:color="auto"/>
        <w:bottom w:val="none" w:sz="0" w:space="0" w:color="auto"/>
        <w:right w:val="none" w:sz="0" w:space="0" w:color="auto"/>
      </w:divBdr>
    </w:div>
    <w:div w:id="1524006475">
      <w:bodyDiv w:val="1"/>
      <w:marLeft w:val="0"/>
      <w:marRight w:val="0"/>
      <w:marTop w:val="0"/>
      <w:marBottom w:val="0"/>
      <w:divBdr>
        <w:top w:val="none" w:sz="0" w:space="0" w:color="auto"/>
        <w:left w:val="none" w:sz="0" w:space="0" w:color="auto"/>
        <w:bottom w:val="none" w:sz="0" w:space="0" w:color="auto"/>
        <w:right w:val="none" w:sz="0" w:space="0" w:color="auto"/>
      </w:divBdr>
    </w:div>
    <w:div w:id="1552112941">
      <w:bodyDiv w:val="1"/>
      <w:marLeft w:val="0"/>
      <w:marRight w:val="0"/>
      <w:marTop w:val="0"/>
      <w:marBottom w:val="0"/>
      <w:divBdr>
        <w:top w:val="none" w:sz="0" w:space="0" w:color="auto"/>
        <w:left w:val="none" w:sz="0" w:space="0" w:color="auto"/>
        <w:bottom w:val="none" w:sz="0" w:space="0" w:color="auto"/>
        <w:right w:val="none" w:sz="0" w:space="0" w:color="auto"/>
      </w:divBdr>
    </w:div>
    <w:div w:id="1577475816">
      <w:bodyDiv w:val="1"/>
      <w:marLeft w:val="0"/>
      <w:marRight w:val="0"/>
      <w:marTop w:val="0"/>
      <w:marBottom w:val="0"/>
      <w:divBdr>
        <w:top w:val="none" w:sz="0" w:space="0" w:color="auto"/>
        <w:left w:val="none" w:sz="0" w:space="0" w:color="auto"/>
        <w:bottom w:val="none" w:sz="0" w:space="0" w:color="auto"/>
        <w:right w:val="none" w:sz="0" w:space="0" w:color="auto"/>
      </w:divBdr>
    </w:div>
    <w:div w:id="1701739498">
      <w:bodyDiv w:val="1"/>
      <w:marLeft w:val="0"/>
      <w:marRight w:val="0"/>
      <w:marTop w:val="0"/>
      <w:marBottom w:val="0"/>
      <w:divBdr>
        <w:top w:val="none" w:sz="0" w:space="0" w:color="auto"/>
        <w:left w:val="none" w:sz="0" w:space="0" w:color="auto"/>
        <w:bottom w:val="none" w:sz="0" w:space="0" w:color="auto"/>
        <w:right w:val="none" w:sz="0" w:space="0" w:color="auto"/>
      </w:divBdr>
    </w:div>
    <w:div w:id="1730692061">
      <w:bodyDiv w:val="1"/>
      <w:marLeft w:val="0"/>
      <w:marRight w:val="0"/>
      <w:marTop w:val="0"/>
      <w:marBottom w:val="0"/>
      <w:divBdr>
        <w:top w:val="none" w:sz="0" w:space="0" w:color="auto"/>
        <w:left w:val="none" w:sz="0" w:space="0" w:color="auto"/>
        <w:bottom w:val="none" w:sz="0" w:space="0" w:color="auto"/>
        <w:right w:val="none" w:sz="0" w:space="0" w:color="auto"/>
      </w:divBdr>
    </w:div>
    <w:div w:id="1802310316">
      <w:bodyDiv w:val="1"/>
      <w:marLeft w:val="0"/>
      <w:marRight w:val="0"/>
      <w:marTop w:val="0"/>
      <w:marBottom w:val="0"/>
      <w:divBdr>
        <w:top w:val="none" w:sz="0" w:space="0" w:color="auto"/>
        <w:left w:val="none" w:sz="0" w:space="0" w:color="auto"/>
        <w:bottom w:val="none" w:sz="0" w:space="0" w:color="auto"/>
        <w:right w:val="none" w:sz="0" w:space="0" w:color="auto"/>
      </w:divBdr>
    </w:div>
    <w:div w:id="1805194851">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5953319">
      <w:bodyDiv w:val="1"/>
      <w:marLeft w:val="0"/>
      <w:marRight w:val="0"/>
      <w:marTop w:val="0"/>
      <w:marBottom w:val="0"/>
      <w:divBdr>
        <w:top w:val="none" w:sz="0" w:space="0" w:color="auto"/>
        <w:left w:val="none" w:sz="0" w:space="0" w:color="auto"/>
        <w:bottom w:val="none" w:sz="0" w:space="0" w:color="auto"/>
        <w:right w:val="none" w:sz="0" w:space="0" w:color="auto"/>
      </w:divBdr>
    </w:div>
    <w:div w:id="1851948703">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62877547">
      <w:bodyDiv w:val="1"/>
      <w:marLeft w:val="0"/>
      <w:marRight w:val="0"/>
      <w:marTop w:val="0"/>
      <w:marBottom w:val="0"/>
      <w:divBdr>
        <w:top w:val="none" w:sz="0" w:space="0" w:color="auto"/>
        <w:left w:val="none" w:sz="0" w:space="0" w:color="auto"/>
        <w:bottom w:val="none" w:sz="0" w:space="0" w:color="auto"/>
        <w:right w:val="none" w:sz="0" w:space="0" w:color="auto"/>
      </w:divBdr>
    </w:div>
    <w:div w:id="1983653738">
      <w:bodyDiv w:val="1"/>
      <w:marLeft w:val="0"/>
      <w:marRight w:val="0"/>
      <w:marTop w:val="0"/>
      <w:marBottom w:val="0"/>
      <w:divBdr>
        <w:top w:val="none" w:sz="0" w:space="0" w:color="auto"/>
        <w:left w:val="none" w:sz="0" w:space="0" w:color="auto"/>
        <w:bottom w:val="none" w:sz="0" w:space="0" w:color="auto"/>
        <w:right w:val="none" w:sz="0" w:space="0" w:color="auto"/>
      </w:divBdr>
    </w:div>
    <w:div w:id="2058816117">
      <w:bodyDiv w:val="1"/>
      <w:marLeft w:val="0"/>
      <w:marRight w:val="0"/>
      <w:marTop w:val="0"/>
      <w:marBottom w:val="0"/>
      <w:divBdr>
        <w:top w:val="none" w:sz="0" w:space="0" w:color="auto"/>
        <w:left w:val="none" w:sz="0" w:space="0" w:color="auto"/>
        <w:bottom w:val="none" w:sz="0" w:space="0" w:color="auto"/>
        <w:right w:val="none" w:sz="0" w:space="0" w:color="auto"/>
      </w:divBdr>
    </w:div>
    <w:div w:id="210711691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 w:id="2136871590">
      <w:bodyDiv w:val="1"/>
      <w:marLeft w:val="0"/>
      <w:marRight w:val="0"/>
      <w:marTop w:val="0"/>
      <w:marBottom w:val="0"/>
      <w:divBdr>
        <w:top w:val="none" w:sz="0" w:space="0" w:color="auto"/>
        <w:left w:val="none" w:sz="0" w:space="0" w:color="auto"/>
        <w:bottom w:val="none" w:sz="0" w:space="0" w:color="auto"/>
        <w:right w:val="none" w:sz="0" w:space="0" w:color="auto"/>
      </w:divBdr>
    </w:div>
    <w:div w:id="2140101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1" ma:contentTypeDescription="Create a new document." ma:contentTypeScope="" ma:versionID="bb9a07d7b3a94954f30ee4cd28788806">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f89011546429e9b93fce5c188de89e57"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2.xml><?xml version="1.0" encoding="utf-8"?>
<ds:datastoreItem xmlns:ds="http://schemas.openxmlformats.org/officeDocument/2006/customXml" ds:itemID="{E49B20A4-B613-4E13-A843-EFD68AC252F0}">
  <ds:schemaRefs>
    <ds:schemaRef ds:uri="http://schemas.openxmlformats.org/officeDocument/2006/bibliography"/>
  </ds:schemaRefs>
</ds:datastoreItem>
</file>

<file path=customXml/itemProps3.xml><?xml version="1.0" encoding="utf-8"?>
<ds:datastoreItem xmlns:ds="http://schemas.openxmlformats.org/officeDocument/2006/customXml" ds:itemID="{76D40585-1122-4FC3-B512-A5927C266C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12</Pages>
  <Words>2244</Words>
  <Characters>14143</Characters>
  <Application>Microsoft Office Word</Application>
  <DocSecurity>0</DocSecurity>
  <Lines>117</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Khouli, Rashid</cp:lastModifiedBy>
  <cp:revision>46</cp:revision>
  <cp:lastPrinted>2020-02-10T06:14:00Z</cp:lastPrinted>
  <dcterms:created xsi:type="dcterms:W3CDTF">2024-02-16T19:04:00Z</dcterms:created>
  <dcterms:modified xsi:type="dcterms:W3CDTF">2024-02-19T14:28:00Z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_2015_ms_pID_725343">
    <vt:lpwstr>(3)TwWDK4TRyAwSM2cjBH5aSwzqCLom5LLQ128oMMHT+tvSTW5H2wVV+BFzzle+AnJ33Wt8NWiI
vEE1XSQ/GMHXnGqhnyc8dn/KRfao28Db2fdhYC2N/LLrQpT2F+2QQwsnF/ghXlT0MoAW9umU
POwnk+SsU5GCVe9hJXtmLYdm8PyiwnSdhg9wWG0gmV0C19Ob0mgkl4baOZ2SwBn1CRClt5DT
xL+Od/5P8xkjBjx+JY</vt:lpwstr>
  </property>
  <property fmtid="{D5CDD505-2E9C-101B-9397-08002B2CF9AE}" pid="5" name="_2015_ms_pID_7253431">
    <vt:lpwstr>oObvWaS2OjApIp9N9ugvAybXCOEfjWm2jg7x9ZGH4oL0LL4ixiufdh
FuYEL4HbemPp3WzkmEOrCsYP0p1kX1AGWauw+K+UgbXq7i5TmgTae2+osr1T5J5UjRp2x8sR
+osbzB1liiZp1BAxKTVlEowJrpQQAC/8L5r+tFzcCQP2XD4Xr35qL2L8GtY9VgFpvm5l2JAr
KuWjqEXyZkaiHDazR0vgYqUOiKVWjAhyK0Do</vt:lpwstr>
  </property>
  <property fmtid="{D5CDD505-2E9C-101B-9397-08002B2CF9AE}" pid="6" name="_2015_ms_pID_7253432">
    <vt:lpwstr>3Pv1nhgjAy/ialf850/QfeA=</vt:lpwstr>
  </property>
  <property fmtid="{D5CDD505-2E9C-101B-9397-08002B2CF9AE}" pid="7" name="MSIP_Label_83bcef13-7cac-433f-ba1d-47a323951816_Enabled">
    <vt:lpwstr>true</vt:lpwstr>
  </property>
  <property fmtid="{D5CDD505-2E9C-101B-9397-08002B2CF9AE}" pid="8" name="MSIP_Label_83bcef13-7cac-433f-ba1d-47a323951816_SetDate">
    <vt:lpwstr>2023-09-05T21:42:00Z</vt:lpwstr>
  </property>
  <property fmtid="{D5CDD505-2E9C-101B-9397-08002B2CF9AE}" pid="9" name="MSIP_Label_83bcef13-7cac-433f-ba1d-47a323951816_Method">
    <vt:lpwstr>Privileged</vt:lpwstr>
  </property>
  <property fmtid="{D5CDD505-2E9C-101B-9397-08002B2CF9AE}" pid="10" name="MSIP_Label_83bcef13-7cac-433f-ba1d-47a323951816_Name">
    <vt:lpwstr>MTK_Unclassified</vt:lpwstr>
  </property>
  <property fmtid="{D5CDD505-2E9C-101B-9397-08002B2CF9AE}" pid="11" name="MSIP_Label_83bcef13-7cac-433f-ba1d-47a323951816_SiteId">
    <vt:lpwstr>a7687ede-7a6b-4ef6-bace-642f677fbe31</vt:lpwstr>
  </property>
  <property fmtid="{D5CDD505-2E9C-101B-9397-08002B2CF9AE}" pid="12" name="MSIP_Label_83bcef13-7cac-433f-ba1d-47a323951816_ActionId">
    <vt:lpwstr>3529e770-c2d3-42f8-aa9c-e4953fa1acad</vt:lpwstr>
  </property>
  <property fmtid="{D5CDD505-2E9C-101B-9397-08002B2CF9AE}" pid="13" name="MSIP_Label_83bcef13-7cac-433f-ba1d-47a323951816_ContentBits">
    <vt:lpwstr>0</vt:lpwstr>
  </property>
</Properties>
</file>